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AC" w:rsidRPr="005C04BF" w:rsidRDefault="00D61CAC" w:rsidP="00D61CAC">
      <w:pPr>
        <w:pStyle w:val="Heading1"/>
        <w:rPr>
          <w:rFonts w:cs="Times New Roman"/>
          <w:sz w:val="24"/>
          <w:szCs w:val="24"/>
        </w:rPr>
      </w:pPr>
      <w:r w:rsidRPr="005C04BF">
        <w:rPr>
          <w:rFonts w:cs="Times New Roman"/>
          <w:sz w:val="24"/>
          <w:szCs w:val="24"/>
        </w:rPr>
        <w:t>Vacek &amp; Freed P.L.L.P.</w:t>
      </w:r>
    </w:p>
    <w:p w:rsidR="00D61CAC" w:rsidRPr="005C04BF" w:rsidRDefault="008E1020" w:rsidP="00D61CAC">
      <w:pPr>
        <w:pStyle w:val="Heading2"/>
        <w:rPr>
          <w:rFonts w:cs="Times New Roman"/>
          <w:sz w:val="24"/>
          <w:szCs w:val="24"/>
        </w:rPr>
      </w:pPr>
      <w:r w:rsidRPr="005C04BF">
        <w:rPr>
          <w:rFonts w:cs="Times New Roman"/>
          <w:sz w:val="24"/>
          <w:szCs w:val="24"/>
        </w:rPr>
        <w:t xml:space="preserve">Attorney </w:t>
      </w:r>
      <w:r w:rsidR="00D61CAC" w:rsidRPr="005C04BF">
        <w:rPr>
          <w:rFonts w:cs="Times New Roman"/>
          <w:sz w:val="24"/>
          <w:szCs w:val="24"/>
        </w:rPr>
        <w:t xml:space="preserve">Albert Vacek, Jr. – </w:t>
      </w:r>
    </w:p>
    <w:p w:rsidR="00AF6A1F" w:rsidRPr="005C04BF" w:rsidRDefault="00D61CAC" w:rsidP="00CF0107">
      <w:pPr>
        <w:tabs>
          <w:tab w:val="left" w:pos="0"/>
        </w:tabs>
        <w:rPr>
          <w:rFonts w:cs="Times New Roman"/>
          <w:sz w:val="24"/>
          <w:szCs w:val="24"/>
        </w:rPr>
      </w:pPr>
      <w:r w:rsidRPr="005C04BF">
        <w:rPr>
          <w:rFonts w:cs="Times New Roman"/>
          <w:sz w:val="24"/>
          <w:szCs w:val="24"/>
        </w:rPr>
        <w:t xml:space="preserve">Vacek is an attorney who sells “Peace of mind” to aging Americans in the form of trust and estate plan instruments. </w:t>
      </w:r>
    </w:p>
    <w:p w:rsidR="00BA16A7" w:rsidRPr="005C04BF" w:rsidRDefault="00800A36" w:rsidP="00CF0107">
      <w:pPr>
        <w:pStyle w:val="Style1"/>
        <w:rPr>
          <w:rFonts w:cs="Times New Roman"/>
          <w:szCs w:val="24"/>
        </w:rPr>
      </w:pPr>
      <w:r w:rsidRPr="005C04BF">
        <w:rPr>
          <w:rFonts w:cs="Times New Roman"/>
          <w:szCs w:val="24"/>
        </w:rPr>
        <w:t xml:space="preserve">Naming Conventions for the trusts use the name of the trustee and appears to be intended to confuse the present for the past. </w:t>
      </w:r>
    </w:p>
    <w:p w:rsidR="00AF6A1F" w:rsidRPr="005C04BF" w:rsidRDefault="00AF6A1F" w:rsidP="00CF0107">
      <w:pPr>
        <w:pStyle w:val="Style1"/>
        <w:rPr>
          <w:rFonts w:cs="Times New Roman"/>
          <w:szCs w:val="24"/>
        </w:rPr>
      </w:pPr>
      <w:r w:rsidRPr="005C04BF">
        <w:rPr>
          <w:rFonts w:cs="Times New Roman"/>
          <w:szCs w:val="24"/>
        </w:rPr>
        <w:t>Modular design and page numbering: Vacek designs his trust instruments in a way that makes falsification and disruption of Vacek designed trust instruments easy.</w:t>
      </w:r>
    </w:p>
    <w:p w:rsidR="00AF6A1F" w:rsidRPr="005C04BF" w:rsidRDefault="00AF6A1F" w:rsidP="0051655C">
      <w:pPr>
        <w:pStyle w:val="Style1"/>
        <w:rPr>
          <w:rFonts w:cs="Times New Roman"/>
          <w:szCs w:val="24"/>
        </w:rPr>
      </w:pPr>
      <w:r w:rsidRPr="005C04BF">
        <w:rPr>
          <w:rFonts w:cs="Times New Roman"/>
          <w:szCs w:val="24"/>
        </w:rPr>
        <w:t>Client has to return to Vacek to divide the family trust assets between survivor and decedents trusts after the passing of the first Settlor</w:t>
      </w:r>
    </w:p>
    <w:p w:rsidR="00AF6A1F" w:rsidRPr="005C04BF" w:rsidRDefault="00AF6A1F" w:rsidP="00CF0107">
      <w:pPr>
        <w:pStyle w:val="Style2"/>
        <w:rPr>
          <w:rFonts w:cs="Times New Roman"/>
          <w:szCs w:val="24"/>
        </w:rPr>
      </w:pPr>
      <w:r w:rsidRPr="005C04BF">
        <w:rPr>
          <w:rFonts w:cs="Times New Roman"/>
          <w:szCs w:val="24"/>
        </w:rPr>
        <w:t xml:space="preserve">V&amp;F now know what the assets are and where they are located and if a weak link in the familial moral fabric can be identified, these assets are considered vulnerable. </w:t>
      </w:r>
    </w:p>
    <w:p w:rsidR="00AF6A1F" w:rsidRPr="005C04BF" w:rsidRDefault="00AF6A1F" w:rsidP="0051655C">
      <w:pPr>
        <w:pStyle w:val="Style1"/>
        <w:rPr>
          <w:rFonts w:cs="Times New Roman"/>
          <w:szCs w:val="24"/>
        </w:rPr>
      </w:pPr>
      <w:r w:rsidRPr="005C04BF">
        <w:rPr>
          <w:rFonts w:cs="Times New Roman"/>
          <w:szCs w:val="24"/>
        </w:rPr>
        <w:t>Survivor trust is revocable and decedents trust is irrevocable but neither indenture is expressed independently from the Family Trust</w:t>
      </w:r>
    </w:p>
    <w:p w:rsidR="0068707B" w:rsidRPr="005C04BF" w:rsidRDefault="0068707B" w:rsidP="0051655C">
      <w:pPr>
        <w:pStyle w:val="Style1"/>
        <w:rPr>
          <w:rFonts w:cs="Times New Roman"/>
          <w:szCs w:val="24"/>
        </w:rPr>
      </w:pPr>
      <w:r w:rsidRPr="005C04BF">
        <w:rPr>
          <w:rFonts w:cs="Times New Roman"/>
          <w:szCs w:val="24"/>
        </w:rPr>
        <w:t xml:space="preserve">Vacek gives his clients assurances that his products will avoid guardianship and probate </w:t>
      </w:r>
      <w:r w:rsidR="001C31A4" w:rsidRPr="005C04BF">
        <w:rPr>
          <w:rFonts w:cs="Times New Roman"/>
          <w:szCs w:val="24"/>
        </w:rPr>
        <w:t>while</w:t>
      </w:r>
      <w:r w:rsidRPr="005C04BF">
        <w:rPr>
          <w:rFonts w:cs="Times New Roman"/>
          <w:szCs w:val="24"/>
        </w:rPr>
        <w:t xml:space="preserve"> sell</w:t>
      </w:r>
      <w:r w:rsidR="001C31A4" w:rsidRPr="005C04BF">
        <w:rPr>
          <w:rFonts w:cs="Times New Roman"/>
          <w:szCs w:val="24"/>
        </w:rPr>
        <w:t>ing</w:t>
      </w:r>
      <w:r w:rsidRPr="005C04BF">
        <w:rPr>
          <w:rFonts w:cs="Times New Roman"/>
          <w:szCs w:val="24"/>
        </w:rPr>
        <w:t xml:space="preserve"> Pour Over Wills as part of his package. The Texas legislature says if the Will is admitted to probate the trust can be s</w:t>
      </w:r>
      <w:r w:rsidR="00280360" w:rsidRPr="005C04BF">
        <w:rPr>
          <w:rFonts w:cs="Times New Roman"/>
          <w:szCs w:val="24"/>
        </w:rPr>
        <w:t>ucked into that theater proving that Vacek sells lies.</w:t>
      </w:r>
      <w:r w:rsidR="001C31A4" w:rsidRPr="005C04BF">
        <w:rPr>
          <w:rFonts w:cs="Times New Roman"/>
          <w:szCs w:val="24"/>
        </w:rPr>
        <w:t xml:space="preserve"> </w:t>
      </w:r>
    </w:p>
    <w:p w:rsidR="00D61CAC" w:rsidRPr="005C04BF" w:rsidRDefault="008E1020" w:rsidP="00D61CAC">
      <w:pPr>
        <w:pStyle w:val="Heading2"/>
        <w:rPr>
          <w:rFonts w:cs="Times New Roman"/>
          <w:sz w:val="24"/>
          <w:szCs w:val="24"/>
        </w:rPr>
      </w:pPr>
      <w:r w:rsidRPr="005C04BF">
        <w:rPr>
          <w:rFonts w:cs="Times New Roman"/>
          <w:sz w:val="24"/>
          <w:szCs w:val="24"/>
        </w:rPr>
        <w:t xml:space="preserve">Attorney </w:t>
      </w:r>
      <w:r w:rsidR="00A352DD" w:rsidRPr="005C04BF">
        <w:rPr>
          <w:rFonts w:cs="Times New Roman"/>
          <w:sz w:val="24"/>
          <w:szCs w:val="24"/>
        </w:rPr>
        <w:t>Candace Kunz-Freed</w:t>
      </w:r>
      <w:r w:rsidR="00D61CAC" w:rsidRPr="005C04BF">
        <w:rPr>
          <w:rFonts w:cs="Times New Roman"/>
          <w:sz w:val="24"/>
          <w:szCs w:val="24"/>
        </w:rPr>
        <w:t xml:space="preserve"> – </w:t>
      </w:r>
      <w:r w:rsidR="00117FE9" w:rsidRPr="005C04BF">
        <w:rPr>
          <w:rFonts w:cs="Times New Roman"/>
          <w:sz w:val="24"/>
          <w:szCs w:val="24"/>
        </w:rPr>
        <w:t>(Freed)</w:t>
      </w:r>
    </w:p>
    <w:p w:rsidR="00414D12" w:rsidRPr="005C04BF" w:rsidRDefault="00117FE9" w:rsidP="00414D12">
      <w:pPr>
        <w:pStyle w:val="Style1"/>
        <w:rPr>
          <w:rFonts w:cs="Times New Roman"/>
          <w:szCs w:val="24"/>
        </w:rPr>
      </w:pPr>
      <w:r w:rsidRPr="005C04BF">
        <w:rPr>
          <w:rFonts w:cs="Times New Roman"/>
          <w:szCs w:val="24"/>
        </w:rPr>
        <w:t>Freed betrayed the duty of loyalty that V&amp;F owed to Elmer and Nelva Brunsting</w:t>
      </w:r>
      <w:r w:rsidR="00414D12" w:rsidRPr="005C04BF">
        <w:rPr>
          <w:rFonts w:cs="Times New Roman"/>
          <w:szCs w:val="24"/>
        </w:rPr>
        <w:t>, a</w:t>
      </w:r>
      <w:r w:rsidRPr="005C04BF">
        <w:rPr>
          <w:rFonts w:cs="Times New Roman"/>
          <w:szCs w:val="24"/>
        </w:rPr>
        <w:t xml:space="preserve">ctively engaged in </w:t>
      </w:r>
      <w:r w:rsidR="00280360" w:rsidRPr="005C04BF">
        <w:rPr>
          <w:rFonts w:cs="Times New Roman"/>
          <w:szCs w:val="24"/>
        </w:rPr>
        <w:t>cultivating conflicting interests</w:t>
      </w:r>
      <w:r w:rsidR="00414D12" w:rsidRPr="005C04BF">
        <w:rPr>
          <w:rFonts w:cs="Times New Roman"/>
          <w:szCs w:val="24"/>
        </w:rPr>
        <w:t>, ruptured the Brunsting trust, generated fraudulent trust instruments and notarized digital images as if the instruments had been signed in her presence.</w:t>
      </w:r>
    </w:p>
    <w:p w:rsidR="00414D12" w:rsidRPr="005C04BF" w:rsidRDefault="00414D12" w:rsidP="00414D12">
      <w:pPr>
        <w:pStyle w:val="Style1"/>
        <w:rPr>
          <w:rFonts w:cs="Times New Roman"/>
          <w:szCs w:val="24"/>
        </w:rPr>
      </w:pPr>
      <w:r w:rsidRPr="005C04BF">
        <w:rPr>
          <w:rFonts w:cs="Times New Roman"/>
          <w:szCs w:val="24"/>
        </w:rPr>
        <w:t>When Nelva discovered the rupture of the trust she contacted Freed with instructions to change it back to the way it was supposed to be and sent Candace a hand written card saying that what Anita is claiming is not true. The response from Anita, Amy and Freed was to have Nelva subjected to a competency examination.</w:t>
      </w:r>
    </w:p>
    <w:p w:rsidR="00CF0107" w:rsidRPr="005C04BF" w:rsidRDefault="00CF0107" w:rsidP="00CF0107">
      <w:pPr>
        <w:pStyle w:val="Heading2"/>
        <w:rPr>
          <w:rFonts w:cs="Times New Roman"/>
          <w:sz w:val="24"/>
          <w:szCs w:val="24"/>
        </w:rPr>
      </w:pPr>
      <w:r w:rsidRPr="005C04BF">
        <w:rPr>
          <w:rFonts w:cs="Times New Roman"/>
          <w:sz w:val="24"/>
          <w:szCs w:val="24"/>
        </w:rPr>
        <w:t>Anita Brunsting</w:t>
      </w:r>
    </w:p>
    <w:p w:rsidR="00CF0107" w:rsidRPr="005C04BF" w:rsidRDefault="00CF0107" w:rsidP="006346F0">
      <w:pPr>
        <w:pStyle w:val="Style1"/>
        <w:rPr>
          <w:rFonts w:cs="Times New Roman"/>
          <w:szCs w:val="24"/>
        </w:rPr>
      </w:pPr>
      <w:r w:rsidRPr="005C04BF">
        <w:rPr>
          <w:rFonts w:cs="Times New Roman"/>
          <w:szCs w:val="24"/>
        </w:rPr>
        <w:t>Anita Brunsting is the youngest of five siblings</w:t>
      </w:r>
      <w:r w:rsidR="00F6798E" w:rsidRPr="005C04BF">
        <w:rPr>
          <w:rStyle w:val="FootnoteReference"/>
          <w:rFonts w:cs="Times New Roman"/>
          <w:szCs w:val="24"/>
        </w:rPr>
        <w:footnoteReference w:id="1"/>
      </w:r>
      <w:r w:rsidRPr="005C04BF">
        <w:rPr>
          <w:rFonts w:cs="Times New Roman"/>
          <w:szCs w:val="24"/>
        </w:rPr>
        <w:t xml:space="preserve">, all of whom are equal share successor beneficiaries to their </w:t>
      </w:r>
      <w:r w:rsidR="00F6798E" w:rsidRPr="005C04BF">
        <w:rPr>
          <w:rFonts w:cs="Times New Roman"/>
          <w:szCs w:val="24"/>
        </w:rPr>
        <w:t>parents’</w:t>
      </w:r>
      <w:r w:rsidRPr="005C04BF">
        <w:rPr>
          <w:rFonts w:cs="Times New Roman"/>
          <w:szCs w:val="24"/>
        </w:rPr>
        <w:t xml:space="preserve"> inter vivos trusts (The Brunsting Family of Trusts).</w:t>
      </w:r>
    </w:p>
    <w:p w:rsidR="00CF0107" w:rsidRPr="005C04BF" w:rsidRDefault="00CF0107" w:rsidP="00CF0107">
      <w:pPr>
        <w:pStyle w:val="Style1"/>
        <w:rPr>
          <w:rFonts w:cs="Times New Roman"/>
          <w:szCs w:val="24"/>
        </w:rPr>
      </w:pPr>
      <w:r w:rsidRPr="005C04BF">
        <w:rPr>
          <w:rFonts w:cs="Times New Roman"/>
          <w:szCs w:val="24"/>
        </w:rPr>
        <w:t>Anita was initially the only successor trustee (</w:t>
      </w:r>
      <w:r w:rsidR="00414D12" w:rsidRPr="005C04BF">
        <w:rPr>
          <w:rFonts w:cs="Times New Roman"/>
          <w:szCs w:val="24"/>
        </w:rPr>
        <w:t xml:space="preserve">Original </w:t>
      </w:r>
      <w:r w:rsidRPr="005C04BF">
        <w:rPr>
          <w:rFonts w:cs="Times New Roman"/>
          <w:szCs w:val="24"/>
        </w:rPr>
        <w:t>1996</w:t>
      </w:r>
      <w:r w:rsidR="00414D12" w:rsidRPr="005C04BF">
        <w:rPr>
          <w:rFonts w:cs="Times New Roman"/>
          <w:szCs w:val="24"/>
        </w:rPr>
        <w:t xml:space="preserve"> Family Trust</w:t>
      </w:r>
      <w:r w:rsidRPr="005C04BF">
        <w:rPr>
          <w:rFonts w:cs="Times New Roman"/>
          <w:szCs w:val="24"/>
        </w:rPr>
        <w:t xml:space="preserve">) followed by </w:t>
      </w:r>
      <w:r w:rsidR="00414D12" w:rsidRPr="005C04BF">
        <w:rPr>
          <w:rFonts w:cs="Times New Roman"/>
          <w:szCs w:val="24"/>
        </w:rPr>
        <w:t xml:space="preserve">alternates </w:t>
      </w:r>
      <w:r w:rsidRPr="005C04BF">
        <w:rPr>
          <w:rFonts w:cs="Times New Roman"/>
          <w:szCs w:val="24"/>
        </w:rPr>
        <w:t>Carl and then Amy.</w:t>
      </w:r>
    </w:p>
    <w:p w:rsidR="00366861" w:rsidRPr="005C04BF" w:rsidRDefault="00CF0107" w:rsidP="00CF0107">
      <w:pPr>
        <w:pStyle w:val="Style1"/>
        <w:rPr>
          <w:rFonts w:cs="Times New Roman"/>
          <w:szCs w:val="24"/>
        </w:rPr>
      </w:pPr>
      <w:r w:rsidRPr="005C04BF">
        <w:rPr>
          <w:rFonts w:cs="Times New Roman"/>
          <w:szCs w:val="24"/>
        </w:rPr>
        <w:t>After her 1999 divorce, Anita demonstrated financial incompetence and was constantly dinging her parents</w:t>
      </w:r>
      <w:r w:rsidR="00414D12" w:rsidRPr="005C04BF">
        <w:rPr>
          <w:rFonts w:cs="Times New Roman"/>
          <w:szCs w:val="24"/>
        </w:rPr>
        <w:t xml:space="preserve"> </w:t>
      </w:r>
      <w:r w:rsidRPr="005C04BF">
        <w:rPr>
          <w:rFonts w:cs="Times New Roman"/>
          <w:szCs w:val="24"/>
        </w:rPr>
        <w:t>for money.</w:t>
      </w:r>
      <w:r w:rsidR="00414D12" w:rsidRPr="005C04BF">
        <w:rPr>
          <w:rFonts w:cs="Times New Roman"/>
          <w:szCs w:val="24"/>
        </w:rPr>
        <w:t xml:space="preserve"> </w:t>
      </w:r>
      <w:r w:rsidRPr="005C04BF">
        <w:rPr>
          <w:rFonts w:cs="Times New Roman"/>
          <w:szCs w:val="24"/>
        </w:rPr>
        <w:t xml:space="preserve">After </w:t>
      </w:r>
      <w:r w:rsidR="006346F0" w:rsidRPr="005C04BF">
        <w:rPr>
          <w:rFonts w:cs="Times New Roman"/>
          <w:szCs w:val="24"/>
        </w:rPr>
        <w:t xml:space="preserve">Anita </w:t>
      </w:r>
      <w:r w:rsidRPr="005C04BF">
        <w:rPr>
          <w:rFonts w:cs="Times New Roman"/>
          <w:szCs w:val="24"/>
        </w:rPr>
        <w:t>default</w:t>
      </w:r>
      <w:r w:rsidR="006346F0" w:rsidRPr="005C04BF">
        <w:rPr>
          <w:rFonts w:cs="Times New Roman"/>
          <w:szCs w:val="24"/>
        </w:rPr>
        <w:t>ed</w:t>
      </w:r>
      <w:r w:rsidRPr="005C04BF">
        <w:rPr>
          <w:rFonts w:cs="Times New Roman"/>
          <w:szCs w:val="24"/>
        </w:rPr>
        <w:t xml:space="preserve"> on her mortgage payments Elmer and Nelva decided to pay off </w:t>
      </w:r>
      <w:r w:rsidR="006346F0" w:rsidRPr="005C04BF">
        <w:rPr>
          <w:rFonts w:cs="Times New Roman"/>
          <w:szCs w:val="24"/>
        </w:rPr>
        <w:t>her</w:t>
      </w:r>
      <w:r w:rsidRPr="005C04BF">
        <w:rPr>
          <w:rFonts w:cs="Times New Roman"/>
          <w:szCs w:val="24"/>
        </w:rPr>
        <w:t xml:space="preserve"> mortgage to the tune of $100,000.</w:t>
      </w:r>
      <w:r w:rsidR="00414D12" w:rsidRPr="005C04BF">
        <w:rPr>
          <w:rFonts w:cs="Times New Roman"/>
          <w:szCs w:val="24"/>
        </w:rPr>
        <w:t xml:space="preserve"> </w:t>
      </w:r>
    </w:p>
    <w:p w:rsidR="00CF0107" w:rsidRPr="005C04BF" w:rsidRDefault="00CF0107" w:rsidP="00CF0107">
      <w:pPr>
        <w:pStyle w:val="Style1"/>
        <w:rPr>
          <w:rFonts w:cs="Times New Roman"/>
          <w:szCs w:val="24"/>
        </w:rPr>
      </w:pPr>
      <w:r w:rsidRPr="005C04BF">
        <w:rPr>
          <w:rFonts w:cs="Times New Roman"/>
          <w:szCs w:val="24"/>
        </w:rPr>
        <w:lastRenderedPageBreak/>
        <w:t>Elmer and Nelva completely removed Anita from being a successor trustee with the 2005 Restatement, naming Carl and Amy to be successor co-trustees</w:t>
      </w:r>
      <w:r w:rsidR="00366861" w:rsidRPr="005C04BF">
        <w:rPr>
          <w:rFonts w:cs="Times New Roman"/>
          <w:szCs w:val="24"/>
        </w:rPr>
        <w:t xml:space="preserve"> with Candace as the alternate</w:t>
      </w:r>
      <w:r w:rsidRPr="005C04BF">
        <w:rPr>
          <w:rFonts w:cs="Times New Roman"/>
          <w:szCs w:val="24"/>
        </w:rPr>
        <w:t>.</w:t>
      </w:r>
      <w:r w:rsidR="00A16F1C" w:rsidRPr="005C04BF">
        <w:rPr>
          <w:rStyle w:val="FootnoteReference"/>
          <w:rFonts w:cs="Times New Roman"/>
          <w:szCs w:val="24"/>
        </w:rPr>
        <w:footnoteReference w:id="2"/>
      </w:r>
    </w:p>
    <w:p w:rsidR="00CF0107" w:rsidRPr="005C04BF" w:rsidRDefault="00CF0107" w:rsidP="00A16F1C">
      <w:pPr>
        <w:pStyle w:val="Style1"/>
        <w:rPr>
          <w:rFonts w:cs="Times New Roman"/>
          <w:szCs w:val="24"/>
        </w:rPr>
      </w:pPr>
      <w:r w:rsidRPr="005C04BF">
        <w:rPr>
          <w:rFonts w:cs="Times New Roman"/>
          <w:szCs w:val="24"/>
        </w:rPr>
        <w:t>Amy was removed with the 2007 Amendment</w:t>
      </w:r>
      <w:r w:rsidR="00F6798E" w:rsidRPr="005C04BF">
        <w:rPr>
          <w:rFonts w:cs="Times New Roman"/>
          <w:szCs w:val="24"/>
        </w:rPr>
        <w:t>,</w:t>
      </w:r>
      <w:r w:rsidRPr="005C04BF">
        <w:rPr>
          <w:rFonts w:cs="Times New Roman"/>
          <w:szCs w:val="24"/>
        </w:rPr>
        <w:t xml:space="preserve"> </w:t>
      </w:r>
      <w:r w:rsidR="00F6798E" w:rsidRPr="005C04BF">
        <w:rPr>
          <w:rFonts w:cs="Times New Roman"/>
          <w:szCs w:val="24"/>
        </w:rPr>
        <w:t>which named Carl and Candace as the successor co-trustees.</w:t>
      </w:r>
      <w:r w:rsidR="00740725" w:rsidRPr="005C04BF">
        <w:rPr>
          <w:rStyle w:val="FootnoteReference"/>
          <w:rFonts w:cs="Times New Roman"/>
          <w:szCs w:val="24"/>
        </w:rPr>
        <w:footnoteReference w:id="3"/>
      </w:r>
    </w:p>
    <w:p w:rsidR="00B745B9" w:rsidRPr="005C04BF" w:rsidRDefault="00F6798E" w:rsidP="00A16F1C">
      <w:pPr>
        <w:pStyle w:val="Style1"/>
        <w:rPr>
          <w:rFonts w:cs="Times New Roman"/>
          <w:szCs w:val="24"/>
        </w:rPr>
      </w:pPr>
      <w:r w:rsidRPr="005C04BF">
        <w:rPr>
          <w:rFonts w:cs="Times New Roman"/>
          <w:szCs w:val="24"/>
        </w:rPr>
        <w:t>Elmer Brunsting w</w:t>
      </w:r>
      <w:r w:rsidR="00B745B9" w:rsidRPr="005C04BF">
        <w:rPr>
          <w:rFonts w:cs="Times New Roman"/>
          <w:szCs w:val="24"/>
        </w:rPr>
        <w:t>as declared incompetent in 2008.</w:t>
      </w:r>
      <w:r w:rsidR="00B745B9" w:rsidRPr="005C04BF">
        <w:rPr>
          <w:rStyle w:val="FootnoteReference"/>
          <w:rFonts w:cs="Times New Roman"/>
          <w:szCs w:val="24"/>
        </w:rPr>
        <w:footnoteReference w:id="4"/>
      </w:r>
    </w:p>
    <w:p w:rsidR="00444029" w:rsidRPr="005C04BF" w:rsidRDefault="002447B8" w:rsidP="002447B8">
      <w:pPr>
        <w:pStyle w:val="Style1"/>
        <w:rPr>
          <w:rFonts w:cs="Times New Roman"/>
          <w:szCs w:val="24"/>
        </w:rPr>
      </w:pPr>
      <w:r w:rsidRPr="005C04BF">
        <w:rPr>
          <w:rFonts w:cs="Times New Roman"/>
          <w:szCs w:val="24"/>
        </w:rPr>
        <w:t xml:space="preserve">June 15, 2010 "Qualified Beneficiary Designation” </w:t>
      </w:r>
      <w:r w:rsidR="00366861" w:rsidRPr="005C04BF">
        <w:rPr>
          <w:rFonts w:cs="Times New Roman"/>
          <w:szCs w:val="24"/>
        </w:rPr>
        <w:t>authorized by</w:t>
      </w:r>
      <w:r w:rsidR="00F6798E" w:rsidRPr="005C04BF">
        <w:rPr>
          <w:rFonts w:cs="Times New Roman"/>
          <w:szCs w:val="24"/>
        </w:rPr>
        <w:t xml:space="preserve"> Article III to allow advance</w:t>
      </w:r>
      <w:r w:rsidR="00366861" w:rsidRPr="005C04BF">
        <w:rPr>
          <w:rFonts w:cs="Times New Roman"/>
          <w:szCs w:val="24"/>
        </w:rPr>
        <w:t>s</w:t>
      </w:r>
      <w:r w:rsidR="00F6798E" w:rsidRPr="005C04BF">
        <w:rPr>
          <w:rFonts w:cs="Times New Roman"/>
          <w:szCs w:val="24"/>
        </w:rPr>
        <w:t xml:space="preserve"> on inheritance expectanc</w:t>
      </w:r>
      <w:r w:rsidR="00366861" w:rsidRPr="005C04BF">
        <w:rPr>
          <w:rFonts w:cs="Times New Roman"/>
          <w:szCs w:val="24"/>
        </w:rPr>
        <w:t>ies (</w:t>
      </w:r>
      <w:r w:rsidR="00F6798E" w:rsidRPr="005C04BF">
        <w:rPr>
          <w:rFonts w:cs="Times New Roman"/>
          <w:szCs w:val="24"/>
        </w:rPr>
        <w:t>from her share</w:t>
      </w:r>
      <w:r w:rsidR="00366861" w:rsidRPr="005C04BF">
        <w:rPr>
          <w:rFonts w:cs="Times New Roman"/>
          <w:szCs w:val="24"/>
        </w:rPr>
        <w:t>)</w:t>
      </w:r>
      <w:r w:rsidR="00444029" w:rsidRPr="005C04BF">
        <w:rPr>
          <w:rFonts w:cs="Times New Roman"/>
          <w:szCs w:val="24"/>
        </w:rPr>
        <w:t>.</w:t>
      </w:r>
    </w:p>
    <w:p w:rsidR="001C31A4" w:rsidRPr="005C04BF" w:rsidRDefault="001C31A4" w:rsidP="001C31A4">
      <w:pPr>
        <w:pStyle w:val="Heading1"/>
        <w:rPr>
          <w:rFonts w:cs="Times New Roman"/>
          <w:sz w:val="24"/>
          <w:szCs w:val="24"/>
        </w:rPr>
      </w:pPr>
      <w:r w:rsidRPr="005C04BF">
        <w:rPr>
          <w:rFonts w:cs="Times New Roman"/>
          <w:sz w:val="24"/>
          <w:szCs w:val="24"/>
        </w:rPr>
        <w:t>Cultivating Conflicting Interests</w:t>
      </w:r>
    </w:p>
    <w:p w:rsidR="00740725" w:rsidRPr="005C04BF" w:rsidRDefault="00F6798E" w:rsidP="00F6798E">
      <w:pPr>
        <w:pStyle w:val="Style1"/>
        <w:rPr>
          <w:rFonts w:cs="Times New Roman"/>
          <w:szCs w:val="24"/>
        </w:rPr>
      </w:pPr>
      <w:r w:rsidRPr="005C04BF">
        <w:rPr>
          <w:rStyle w:val="Style2Char"/>
          <w:rFonts w:cs="Times New Roman"/>
          <w:szCs w:val="24"/>
        </w:rPr>
        <w:t xml:space="preserve">At some point in time Freed entered into a confidential relationship with Anita Brunsting. </w:t>
      </w:r>
      <w:r w:rsidR="0051655C" w:rsidRPr="005C04BF">
        <w:rPr>
          <w:rStyle w:val="Style2Char"/>
          <w:rFonts w:cs="Times New Roman"/>
          <w:szCs w:val="24"/>
        </w:rPr>
        <w:t xml:space="preserve">After </w:t>
      </w:r>
      <w:r w:rsidR="00740725" w:rsidRPr="005C04BF">
        <w:rPr>
          <w:rStyle w:val="Style2Char"/>
          <w:rFonts w:cs="Times New Roman"/>
          <w:szCs w:val="24"/>
        </w:rPr>
        <w:t>Elmers’</w:t>
      </w:r>
      <w:r w:rsidR="0051655C" w:rsidRPr="005C04BF">
        <w:rPr>
          <w:rStyle w:val="Style2Char"/>
          <w:rFonts w:cs="Times New Roman"/>
          <w:szCs w:val="24"/>
        </w:rPr>
        <w:t xml:space="preserve"> passing on April 1, 2009, </w:t>
      </w:r>
      <w:r w:rsidRPr="005C04BF">
        <w:rPr>
          <w:rStyle w:val="Style2Char"/>
          <w:rFonts w:cs="Times New Roman"/>
          <w:szCs w:val="24"/>
        </w:rPr>
        <w:t>Freed assisted Anita in her scheme to steal the family trust</w:t>
      </w:r>
      <w:r w:rsidR="00B745B9" w:rsidRPr="005C04BF">
        <w:rPr>
          <w:rStyle w:val="Style2Char"/>
          <w:rFonts w:cs="Times New Roman"/>
          <w:szCs w:val="24"/>
        </w:rPr>
        <w:t xml:space="preserve"> to the ultimate injury of all those similarly situated as beneficiaries.</w:t>
      </w:r>
    </w:p>
    <w:p w:rsidR="00DC103A" w:rsidRPr="005C04BF" w:rsidRDefault="00DC103A" w:rsidP="00DC103A">
      <w:pPr>
        <w:pStyle w:val="Heading1"/>
        <w:rPr>
          <w:rFonts w:cs="Times New Roman"/>
          <w:sz w:val="24"/>
          <w:szCs w:val="24"/>
        </w:rPr>
      </w:pPr>
      <w:r w:rsidRPr="005C04BF">
        <w:rPr>
          <w:rFonts w:cs="Times New Roman"/>
          <w:sz w:val="24"/>
          <w:szCs w:val="24"/>
        </w:rPr>
        <w:t xml:space="preserve">A Qualifying Event, also known as a HURRAH </w:t>
      </w:r>
    </w:p>
    <w:p w:rsidR="00DC103A" w:rsidRPr="005C04BF" w:rsidRDefault="00DC103A" w:rsidP="005A29FC">
      <w:pPr>
        <w:pStyle w:val="Style1"/>
        <w:rPr>
          <w:rFonts w:cs="Times New Roman"/>
          <w:szCs w:val="24"/>
        </w:rPr>
      </w:pPr>
      <w:r w:rsidRPr="005C04BF">
        <w:rPr>
          <w:rFonts w:cs="Times New Roman"/>
          <w:szCs w:val="24"/>
        </w:rPr>
        <w:t xml:space="preserve">On July 3, 2010 Brother Carl falls Ill and is in coma. Anita and Amy begin a bonfire of defamations of Carl’s wife Drina Brunstings integrity and it isn’t long before </w:t>
      </w:r>
      <w:r w:rsidR="005A29FC" w:rsidRPr="005C04BF">
        <w:rPr>
          <w:rFonts w:cs="Times New Roman"/>
          <w:szCs w:val="24"/>
        </w:rPr>
        <w:t xml:space="preserve">it </w:t>
      </w:r>
      <w:r w:rsidRPr="005C04BF">
        <w:rPr>
          <w:rFonts w:cs="Times New Roman"/>
          <w:szCs w:val="24"/>
        </w:rPr>
        <w:t>reverberate</w:t>
      </w:r>
      <w:r w:rsidR="005A29FC" w:rsidRPr="005C04BF">
        <w:rPr>
          <w:rFonts w:cs="Times New Roman"/>
          <w:szCs w:val="24"/>
        </w:rPr>
        <w:t>s</w:t>
      </w:r>
      <w:r w:rsidRPr="005C04BF">
        <w:rPr>
          <w:rFonts w:cs="Times New Roman"/>
          <w:szCs w:val="24"/>
        </w:rPr>
        <w:t xml:space="preserve"> throu</w:t>
      </w:r>
      <w:r w:rsidR="005A29FC" w:rsidRPr="005C04BF">
        <w:rPr>
          <w:rFonts w:cs="Times New Roman"/>
          <w:szCs w:val="24"/>
        </w:rPr>
        <w:t>gh to Candace on the west coast.</w:t>
      </w:r>
    </w:p>
    <w:p w:rsidR="00DC103A" w:rsidRPr="005C04BF" w:rsidRDefault="005A29FC" w:rsidP="00DC103A">
      <w:pPr>
        <w:pStyle w:val="Style1"/>
        <w:rPr>
          <w:rFonts w:cs="Times New Roman"/>
          <w:szCs w:val="24"/>
        </w:rPr>
      </w:pPr>
      <w:r w:rsidRPr="005C04BF">
        <w:rPr>
          <w:rFonts w:cs="Times New Roman"/>
          <w:szCs w:val="24"/>
        </w:rPr>
        <w:t xml:space="preserve">On </w:t>
      </w:r>
      <w:r w:rsidR="00DC103A" w:rsidRPr="005C04BF">
        <w:rPr>
          <w:rFonts w:cs="Times New Roman"/>
          <w:szCs w:val="24"/>
        </w:rPr>
        <w:t xml:space="preserve">July 20, 2010-Candace Kunz-Freed </w:t>
      </w:r>
      <w:r w:rsidRPr="005C04BF">
        <w:rPr>
          <w:rFonts w:cs="Times New Roman"/>
          <w:szCs w:val="24"/>
        </w:rPr>
        <w:t xml:space="preserve">has a </w:t>
      </w:r>
      <w:r w:rsidR="00DC103A" w:rsidRPr="005C04BF">
        <w:rPr>
          <w:rFonts w:cs="Times New Roman"/>
          <w:szCs w:val="24"/>
        </w:rPr>
        <w:t>phone conference with Anita Brunsting</w:t>
      </w:r>
      <w:r w:rsidRPr="005C04BF">
        <w:rPr>
          <w:rFonts w:cs="Times New Roman"/>
          <w:szCs w:val="24"/>
        </w:rPr>
        <w:t xml:space="preserve"> and </w:t>
      </w:r>
      <w:r w:rsidR="00DC103A" w:rsidRPr="005C04BF">
        <w:rPr>
          <w:rFonts w:cs="Times New Roman"/>
          <w:szCs w:val="24"/>
        </w:rPr>
        <w:t>July 30 Freed’s client notes shows her taking instruc</w:t>
      </w:r>
      <w:r w:rsidRPr="005C04BF">
        <w:rPr>
          <w:rFonts w:cs="Times New Roman"/>
          <w:szCs w:val="24"/>
        </w:rPr>
        <w:t xml:space="preserve">tions from Anita and not Nelva. </w:t>
      </w:r>
      <w:hyperlink w:history="1">
        <w:r w:rsidR="00DC103A" w:rsidRPr="005C04BF">
          <w:rPr>
            <w:rStyle w:val="Hyperlink"/>
            <w:rFonts w:cs="Times New Roman"/>
            <w:szCs w:val="24"/>
          </w:rPr>
          <w:t>\\Candy Trust docs\2015 Current Project\Exhibits\Freed's 7.30.10MtgNotes.V&amp;F687-691.pdf</w:t>
        </w:r>
      </w:hyperlink>
      <w:r w:rsidR="00DC103A" w:rsidRPr="005C04BF">
        <w:rPr>
          <w:rFonts w:cs="Times New Roman"/>
          <w:szCs w:val="24"/>
        </w:rPr>
        <w:t xml:space="preserve"> </w:t>
      </w:r>
    </w:p>
    <w:p w:rsidR="00DC103A" w:rsidRPr="005C04BF" w:rsidRDefault="00DC103A" w:rsidP="005A29FC">
      <w:pPr>
        <w:pStyle w:val="Style1"/>
        <w:rPr>
          <w:rFonts w:cs="Times New Roman"/>
          <w:szCs w:val="24"/>
        </w:rPr>
      </w:pPr>
      <w:r w:rsidRPr="005C04BF">
        <w:rPr>
          <w:rFonts w:cs="Times New Roman"/>
          <w:szCs w:val="24"/>
        </w:rPr>
        <w:t xml:space="preserve">October 6, 2010-Candace Kuntz-Freed </w:t>
      </w:r>
      <w:r w:rsidR="005A29FC" w:rsidRPr="005C04BF">
        <w:rPr>
          <w:rFonts w:cs="Times New Roman"/>
          <w:szCs w:val="24"/>
        </w:rPr>
        <w:t xml:space="preserve">has a </w:t>
      </w:r>
      <w:r w:rsidRPr="005C04BF">
        <w:rPr>
          <w:rFonts w:cs="Times New Roman"/>
          <w:szCs w:val="24"/>
        </w:rPr>
        <w:t xml:space="preserve">phone conference with Anita Brunsting. (Freed Interoggs) </w:t>
      </w:r>
      <w:r w:rsidR="005A29FC" w:rsidRPr="005C04BF">
        <w:rPr>
          <w:rFonts w:cs="Times New Roman"/>
          <w:szCs w:val="24"/>
        </w:rPr>
        <w:t xml:space="preserve">and on </w:t>
      </w:r>
      <w:r w:rsidRPr="005C04BF">
        <w:rPr>
          <w:rFonts w:cs="Times New Roman"/>
          <w:szCs w:val="24"/>
        </w:rPr>
        <w:t>October 6, 2010 Anita emails Freed that Nelva had agreed to resign</w:t>
      </w:r>
      <w:r w:rsidR="005A29FC" w:rsidRPr="005C04BF">
        <w:rPr>
          <w:rFonts w:cs="Times New Roman"/>
          <w:szCs w:val="24"/>
        </w:rPr>
        <w:t xml:space="preserve"> and appoint her trustee</w:t>
      </w:r>
      <w:r w:rsidRPr="005C04BF">
        <w:rPr>
          <w:rFonts w:cs="Times New Roman"/>
          <w:szCs w:val="24"/>
        </w:rPr>
        <w:t>.</w:t>
      </w:r>
      <w:r w:rsidR="005A29FC" w:rsidRPr="005C04BF">
        <w:rPr>
          <w:rFonts w:cs="Times New Roman"/>
          <w:szCs w:val="24"/>
        </w:rPr>
        <w:t xml:space="preserve"> </w:t>
      </w:r>
      <w:hyperlink w:history="1">
        <w:r w:rsidR="00C36567" w:rsidRPr="005C04BF">
          <w:rPr>
            <w:rStyle w:val="Hyperlink"/>
            <w:rFonts w:cs="Times New Roman"/>
            <w:szCs w:val="24"/>
          </w:rPr>
          <w:t>\\Candy Trust docs\2015 Current Project\Exhibits\Emails_OCR.pdf</w:t>
        </w:r>
      </w:hyperlink>
      <w:r w:rsidRPr="005C04BF">
        <w:rPr>
          <w:rFonts w:cs="Times New Roman"/>
          <w:szCs w:val="24"/>
        </w:rPr>
        <w:t xml:space="preserve"> </w:t>
      </w:r>
    </w:p>
    <w:p w:rsidR="00CC1DB0" w:rsidRPr="005C04BF" w:rsidRDefault="00CC1DB0" w:rsidP="00CC1DB0">
      <w:pPr>
        <w:pStyle w:val="Heading1"/>
        <w:rPr>
          <w:rFonts w:cs="Times New Roman"/>
          <w:sz w:val="24"/>
          <w:szCs w:val="24"/>
        </w:rPr>
      </w:pPr>
      <w:r w:rsidRPr="005C04BF">
        <w:rPr>
          <w:rFonts w:cs="Times New Roman"/>
          <w:sz w:val="24"/>
          <w:szCs w:val="24"/>
        </w:rPr>
        <w:t>The Jack-in-the-Box</w:t>
      </w:r>
    </w:p>
    <w:p w:rsidR="00417D43" w:rsidRPr="005C04BF" w:rsidRDefault="00CC1DB0" w:rsidP="00CC1DB0">
      <w:pPr>
        <w:pStyle w:val="Style1"/>
        <w:rPr>
          <w:rFonts w:cs="Times New Roman"/>
          <w:szCs w:val="24"/>
        </w:rPr>
      </w:pPr>
      <w:r w:rsidRPr="005C04BF">
        <w:rPr>
          <w:rFonts w:cs="Times New Roman"/>
          <w:szCs w:val="24"/>
        </w:rPr>
        <w:t>A Jack-in-the-box is an artifice that is intended to pop up after the death of the surviving Founder when there is no one left to say “That’s Not True”</w:t>
      </w:r>
      <w:r w:rsidR="00417D43" w:rsidRPr="005C04BF">
        <w:rPr>
          <w:rFonts w:cs="Times New Roman"/>
          <w:szCs w:val="24"/>
        </w:rPr>
        <w:t xml:space="preserve">. It generally comes in the form of an alleged testamentary power or other changes made in secret. </w:t>
      </w:r>
      <w:r w:rsidRPr="005C04BF">
        <w:rPr>
          <w:rFonts w:cs="Times New Roman"/>
          <w:szCs w:val="24"/>
        </w:rPr>
        <w:t xml:space="preserve"> </w:t>
      </w:r>
    </w:p>
    <w:p w:rsidR="00CC1DB0" w:rsidRPr="005C04BF" w:rsidRDefault="00417D43" w:rsidP="00CC1DB0">
      <w:pPr>
        <w:pStyle w:val="Style1"/>
        <w:rPr>
          <w:rFonts w:cs="Times New Roman"/>
          <w:szCs w:val="24"/>
        </w:rPr>
      </w:pPr>
      <w:r w:rsidRPr="005C04BF">
        <w:rPr>
          <w:rFonts w:cs="Times New Roman"/>
          <w:szCs w:val="24"/>
        </w:rPr>
        <w:t>T</w:t>
      </w:r>
      <w:r w:rsidR="00CC1DB0" w:rsidRPr="005C04BF">
        <w:rPr>
          <w:rFonts w:cs="Times New Roman"/>
          <w:szCs w:val="24"/>
        </w:rPr>
        <w:t>his cat got out of the bag</w:t>
      </w:r>
      <w:r w:rsidRPr="005C04BF">
        <w:rPr>
          <w:rFonts w:cs="Times New Roman"/>
          <w:szCs w:val="24"/>
        </w:rPr>
        <w:t xml:space="preserve">: </w:t>
      </w:r>
      <w:r w:rsidR="00CC1DB0" w:rsidRPr="005C04BF">
        <w:rPr>
          <w:rFonts w:cs="Times New Roman"/>
          <w:szCs w:val="24"/>
        </w:rPr>
        <w:t>October 23, 2010 Candy receives her first copy of the August 25, 2010 "Qualified Beneficiary Designation and Exercise Of Testamentary Powers Of Appointment Under Living Trust Agreement”</w:t>
      </w:r>
    </w:p>
    <w:p w:rsidR="00CC1DB0" w:rsidRPr="005C04BF" w:rsidRDefault="00CC1DB0" w:rsidP="00CC1DB0">
      <w:pPr>
        <w:pStyle w:val="Style1"/>
        <w:rPr>
          <w:rFonts w:cs="Times New Roman"/>
          <w:szCs w:val="24"/>
        </w:rPr>
      </w:pPr>
      <w:r w:rsidRPr="005C04BF">
        <w:rPr>
          <w:rFonts w:cs="Times New Roman"/>
          <w:szCs w:val="24"/>
        </w:rPr>
        <w:t>It appears that in July of 2010 Freed told Nelva that she needed all of the original trust instruments and that Nelva had removed them from the safety deposit box in reply. Nelva emailed Carl at how relieved she was after she had returned them to the safety deposit box. Nelva also said that she didn’t know why Freed had wanted all the originals.</w:t>
      </w:r>
    </w:p>
    <w:p w:rsidR="00CC1DB0" w:rsidRPr="005C04BF" w:rsidRDefault="00CC1DB0" w:rsidP="00CC1DB0">
      <w:pPr>
        <w:pStyle w:val="Style1"/>
        <w:rPr>
          <w:rFonts w:cs="Times New Roman"/>
          <w:szCs w:val="24"/>
        </w:rPr>
      </w:pPr>
      <w:r w:rsidRPr="005C04BF">
        <w:rPr>
          <w:rFonts w:cs="Times New Roman"/>
          <w:szCs w:val="24"/>
        </w:rPr>
        <w:lastRenderedPageBreak/>
        <w:t xml:space="preserve">While in her possession, Freed altered Article IX of the 2005 Restatement titled “Administration of the Decedents Trust” by inserting a Testamentary Power of Appointment clause that required the addition of an extra page. </w:t>
      </w:r>
    </w:p>
    <w:p w:rsidR="00CC1DB0" w:rsidRPr="005C04BF" w:rsidRDefault="00CC1DB0" w:rsidP="00CC1DB0">
      <w:pPr>
        <w:pStyle w:val="Style1"/>
        <w:rPr>
          <w:rFonts w:cs="Times New Roman"/>
          <w:szCs w:val="24"/>
        </w:rPr>
      </w:pPr>
      <w:r w:rsidRPr="005C04BF">
        <w:rPr>
          <w:rFonts w:cs="Times New Roman"/>
          <w:szCs w:val="24"/>
        </w:rPr>
        <w:t xml:space="preserve">This was facilitated by the composite design of the instruments themselves as each Article has an independent numbering scheme. Article I is numbered pages 1-1, 1-2 etc. and Article III pages are numbered 3-1, 3-2, etc. </w:t>
      </w:r>
    </w:p>
    <w:p w:rsidR="00CC1DB0" w:rsidRPr="005C04BF" w:rsidRDefault="00CC1DB0" w:rsidP="00CC1DB0">
      <w:pPr>
        <w:pStyle w:val="Style1"/>
        <w:rPr>
          <w:rFonts w:cs="Times New Roman"/>
          <w:szCs w:val="24"/>
        </w:rPr>
      </w:pPr>
      <w:r w:rsidRPr="005C04BF">
        <w:rPr>
          <w:rFonts w:cs="Times New Roman"/>
          <w:szCs w:val="24"/>
        </w:rPr>
        <w:t>Article IX originally contained only pages 9-1 and 9-2. Freed only had to remove page 9-2 and replaced it with pages 9-2 and 9-3, in order to insert the Testamentary Power of Appointment clause. The next page, 10-1, remained unchanged and the previous page, 9-1, was also unaffected.</w:t>
      </w:r>
      <w:r w:rsidRPr="005C04BF">
        <w:rPr>
          <w:rStyle w:val="FootnoteReference"/>
          <w:rFonts w:cs="Times New Roman"/>
          <w:szCs w:val="24"/>
        </w:rPr>
        <w:footnoteReference w:id="5"/>
      </w:r>
    </w:p>
    <w:p w:rsidR="00CC1DB0" w:rsidRPr="005C04BF" w:rsidRDefault="00CC1DB0" w:rsidP="00CC1DB0">
      <w:pPr>
        <w:pStyle w:val="Style1"/>
        <w:rPr>
          <w:rFonts w:cs="Times New Roman"/>
          <w:szCs w:val="24"/>
        </w:rPr>
      </w:pPr>
      <w:r w:rsidRPr="005C04BF">
        <w:rPr>
          <w:rFonts w:cs="Times New Roman"/>
          <w:szCs w:val="24"/>
        </w:rPr>
        <w:t>Freed then combined the Qualified Beneficiary Designation from Article III</w:t>
      </w:r>
      <w:r w:rsidRPr="005C04BF">
        <w:rPr>
          <w:rStyle w:val="FootnoteReference"/>
          <w:rFonts w:cs="Times New Roman"/>
          <w:szCs w:val="24"/>
        </w:rPr>
        <w:footnoteReference w:id="6"/>
      </w:r>
      <w:r w:rsidRPr="005C04BF">
        <w:rPr>
          <w:rFonts w:cs="Times New Roman"/>
          <w:szCs w:val="24"/>
        </w:rPr>
        <w:t xml:space="preserve"> with the Testamentary Power of Appointment</w:t>
      </w:r>
      <w:r w:rsidRPr="005C04BF">
        <w:rPr>
          <w:rStyle w:val="FootnoteReference"/>
          <w:rFonts w:cs="Times New Roman"/>
          <w:szCs w:val="24"/>
        </w:rPr>
        <w:footnoteReference w:id="7"/>
      </w:r>
      <w:r w:rsidRPr="005C04BF">
        <w:rPr>
          <w:rFonts w:cs="Times New Roman"/>
          <w:szCs w:val="24"/>
        </w:rPr>
        <w:t xml:space="preserve"> from Article IX producing the August 25, 2010 “</w:t>
      </w:r>
      <w:r w:rsidRPr="005C04BF">
        <w:rPr>
          <w:rFonts w:cs="Times New Roman"/>
          <w:i/>
          <w:szCs w:val="24"/>
        </w:rPr>
        <w:t>Qualified Beneficiary Designation and Testamentary Power of Appointment under Living Trust Agreement</w:t>
      </w:r>
      <w:r w:rsidRPr="005C04BF">
        <w:rPr>
          <w:rFonts w:cs="Times New Roman"/>
          <w:szCs w:val="24"/>
        </w:rPr>
        <w:t>” (8/25/2010 QBD or 8/25/2010 QBD/TPA)</w:t>
      </w:r>
    </w:p>
    <w:p w:rsidR="00CC1DB0" w:rsidRPr="005C04BF" w:rsidRDefault="00CC1DB0" w:rsidP="00CC1DB0">
      <w:pPr>
        <w:pStyle w:val="Style1"/>
        <w:rPr>
          <w:rFonts w:cs="Times New Roman"/>
          <w:szCs w:val="24"/>
        </w:rPr>
      </w:pPr>
      <w:r w:rsidRPr="005C04BF">
        <w:rPr>
          <w:rFonts w:cs="Times New Roman"/>
          <w:szCs w:val="24"/>
        </w:rPr>
        <w:t>This instrument combines incompatible powers:</w:t>
      </w:r>
    </w:p>
    <w:p w:rsidR="00CC1DB0" w:rsidRPr="005C04BF" w:rsidRDefault="00CC1DB0" w:rsidP="00CC1DB0">
      <w:pPr>
        <w:pStyle w:val="Style2"/>
        <w:rPr>
          <w:rFonts w:cs="Times New Roman"/>
          <w:szCs w:val="24"/>
        </w:rPr>
      </w:pPr>
      <w:r w:rsidRPr="005C04BF">
        <w:rPr>
          <w:rFonts w:cs="Times New Roman"/>
          <w:szCs w:val="24"/>
        </w:rPr>
        <w:t>Combined Article III QBD (applicable to Survivors Revocable Trust) with the inserted TPA (allegedly Applicable to Decedents Irrevocable Trust) producing a result greater than the sum total of the parts and assailing the family of trusts in contradictions, guaranteeing that its beneficiaries would become embroiled in controversy.</w:t>
      </w:r>
    </w:p>
    <w:p w:rsidR="00CC1DB0" w:rsidRPr="005C04BF" w:rsidRDefault="00CC1DB0" w:rsidP="00CC1DB0">
      <w:pPr>
        <w:pStyle w:val="Style2"/>
        <w:rPr>
          <w:rFonts w:cs="Times New Roman"/>
          <w:szCs w:val="24"/>
        </w:rPr>
      </w:pPr>
      <w:r w:rsidRPr="005C04BF">
        <w:rPr>
          <w:rFonts w:cs="Times New Roman"/>
          <w:szCs w:val="24"/>
        </w:rPr>
        <w:t>Freed’s 8/25/2010 QBD/TPA ignores the fact that Nelva exercised her QBD in June 2010 and does not revoke that exercise, Fails to distinguish the exercise of the Article III QBD from the exercise of the Article IX TPA, fails to indicate which sections of the QBD/TPA contain the QBD and what sections contain the TPA or what sections of the survivor’s trust were amended or what provisions of the irrevocable decedent’s trust were amended.</w:t>
      </w:r>
    </w:p>
    <w:p w:rsidR="00CC1DB0" w:rsidRPr="005C04BF" w:rsidRDefault="00CC1DB0" w:rsidP="00CC1DB0">
      <w:pPr>
        <w:pStyle w:val="Style2"/>
        <w:rPr>
          <w:rFonts w:cs="Times New Roman"/>
          <w:szCs w:val="24"/>
        </w:rPr>
      </w:pPr>
      <w:r w:rsidRPr="005C04BF">
        <w:rPr>
          <w:rFonts w:cs="Times New Roman"/>
          <w:szCs w:val="24"/>
        </w:rPr>
        <w:t xml:space="preserve">Freed also notarized this instrument or something else but this instrument appears with several variations of the signature page, none of which appear to be photo copies of a wet signed original. </w:t>
      </w:r>
    </w:p>
    <w:p w:rsidR="00BD6A16" w:rsidRPr="005C04BF" w:rsidRDefault="00E161B5" w:rsidP="00E161B5">
      <w:pPr>
        <w:pStyle w:val="Heading1"/>
        <w:rPr>
          <w:rFonts w:cs="Times New Roman"/>
          <w:sz w:val="24"/>
          <w:szCs w:val="24"/>
        </w:rPr>
      </w:pPr>
      <w:bookmarkStart w:id="0" w:name="_GoBack"/>
      <w:bookmarkEnd w:id="0"/>
      <w:r w:rsidRPr="005C04BF">
        <w:rPr>
          <w:rFonts w:cs="Times New Roman"/>
          <w:sz w:val="24"/>
          <w:szCs w:val="24"/>
        </w:rPr>
        <w:t>Misapplication of Fiduciary</w:t>
      </w:r>
    </w:p>
    <w:p w:rsidR="001A7FE6" w:rsidRPr="005C04BF" w:rsidRDefault="001A7FE6" w:rsidP="00444029">
      <w:pPr>
        <w:pStyle w:val="Style1"/>
        <w:rPr>
          <w:rFonts w:cs="Times New Roman"/>
          <w:szCs w:val="24"/>
        </w:rPr>
      </w:pPr>
      <w:r w:rsidRPr="005C04BF">
        <w:rPr>
          <w:rFonts w:cs="Times New Roman"/>
          <w:szCs w:val="24"/>
        </w:rPr>
        <w:t>After</w:t>
      </w:r>
      <w:r w:rsidR="00444029" w:rsidRPr="005C04BF">
        <w:rPr>
          <w:rFonts w:cs="Times New Roman"/>
          <w:szCs w:val="24"/>
        </w:rPr>
        <w:t xml:space="preserve"> having maneuvered her way </w:t>
      </w:r>
      <w:r w:rsidR="007D403D" w:rsidRPr="005C04BF">
        <w:rPr>
          <w:rFonts w:cs="Times New Roman"/>
          <w:szCs w:val="24"/>
        </w:rPr>
        <w:t xml:space="preserve">into </w:t>
      </w:r>
      <w:r w:rsidRPr="005C04BF">
        <w:rPr>
          <w:rFonts w:cs="Times New Roman"/>
          <w:szCs w:val="24"/>
        </w:rPr>
        <w:t xml:space="preserve">sole </w:t>
      </w:r>
      <w:r w:rsidR="007D403D" w:rsidRPr="005C04BF">
        <w:rPr>
          <w:rFonts w:cs="Times New Roman"/>
          <w:szCs w:val="24"/>
        </w:rPr>
        <w:t>control over the</w:t>
      </w:r>
      <w:r w:rsidRPr="005C04BF">
        <w:rPr>
          <w:rFonts w:cs="Times New Roman"/>
          <w:szCs w:val="24"/>
        </w:rPr>
        <w:t xml:space="preserve"> trust</w:t>
      </w:r>
      <w:r w:rsidR="007D403D" w:rsidRPr="005C04BF">
        <w:rPr>
          <w:rFonts w:cs="Times New Roman"/>
          <w:szCs w:val="24"/>
        </w:rPr>
        <w:t xml:space="preserve"> assets,</w:t>
      </w:r>
      <w:r w:rsidRPr="005C04BF">
        <w:rPr>
          <w:rFonts w:cs="Times New Roman"/>
          <w:szCs w:val="24"/>
        </w:rPr>
        <w:t xml:space="preserve"> Anita Brunsting began secretly transferring assets to herself. </w:t>
      </w:r>
    </w:p>
    <w:p w:rsidR="001A7FE6" w:rsidRPr="005C04BF" w:rsidRDefault="007D403D" w:rsidP="001A7FE6">
      <w:pPr>
        <w:pStyle w:val="Style2"/>
        <w:rPr>
          <w:rFonts w:cs="Times New Roman"/>
          <w:b/>
          <w:bCs/>
          <w:szCs w:val="24"/>
        </w:rPr>
      </w:pPr>
      <w:r w:rsidRPr="005C04BF">
        <w:rPr>
          <w:rFonts w:cs="Times New Roman"/>
          <w:szCs w:val="24"/>
        </w:rPr>
        <w:t xml:space="preserve"> </w:t>
      </w:r>
      <w:r w:rsidR="001A7FE6" w:rsidRPr="005C04BF">
        <w:rPr>
          <w:rFonts w:cs="Times New Roman"/>
          <w:b/>
          <w:bCs/>
          <w:szCs w:val="24"/>
        </w:rPr>
        <w:t>March 24, 2011 Exxon</w:t>
      </w:r>
      <w:r w:rsidR="001A7FE6" w:rsidRPr="005C04BF">
        <w:rPr>
          <w:rFonts w:cs="Times New Roman"/>
          <w:szCs w:val="24"/>
        </w:rPr>
        <w:t xml:space="preserve"> Account #C0009467769 shares 1908, transferred into an account in the name of ANITA BRUNSTING, allegedly as trustee. March 2012, 583 shares a difference of </w:t>
      </w:r>
      <w:r w:rsidR="001A7FE6" w:rsidRPr="005C04BF">
        <w:rPr>
          <w:rFonts w:cs="Times New Roman"/>
          <w:b/>
          <w:bCs/>
          <w:szCs w:val="24"/>
        </w:rPr>
        <w:t>1325 shares</w:t>
      </w:r>
    </w:p>
    <w:p w:rsidR="001A7FE6" w:rsidRPr="005C04BF" w:rsidRDefault="001A7FE6" w:rsidP="001A7FE6">
      <w:pPr>
        <w:pStyle w:val="Style2"/>
        <w:rPr>
          <w:rFonts w:cs="Times New Roman"/>
          <w:b/>
          <w:bCs/>
          <w:szCs w:val="24"/>
        </w:rPr>
      </w:pPr>
      <w:r w:rsidRPr="005C04BF">
        <w:rPr>
          <w:rFonts w:cs="Times New Roman"/>
          <w:b/>
          <w:bCs/>
          <w:szCs w:val="24"/>
        </w:rPr>
        <w:t>March 24, 2011</w:t>
      </w:r>
      <w:r w:rsidRPr="005C04BF">
        <w:rPr>
          <w:rFonts w:cs="Times New Roman"/>
          <w:szCs w:val="24"/>
        </w:rPr>
        <w:t xml:space="preserve"> </w:t>
      </w:r>
      <w:r w:rsidRPr="005C04BF">
        <w:rPr>
          <w:rFonts w:cs="Times New Roman"/>
          <w:b/>
          <w:bCs/>
          <w:szCs w:val="24"/>
        </w:rPr>
        <w:t>Exxon</w:t>
      </w:r>
      <w:r w:rsidRPr="005C04BF">
        <w:rPr>
          <w:rFonts w:cs="Times New Roman"/>
          <w:szCs w:val="24"/>
        </w:rPr>
        <w:t xml:space="preserve"> Mobil Acct.# C0009467777, there were 2101.968469 shares transferred into an account in the name of ANITA BRUNSTING allegedly as trustee. </w:t>
      </w:r>
      <w:r w:rsidRPr="005C04BF">
        <w:rPr>
          <w:rFonts w:cs="Times New Roman"/>
          <w:szCs w:val="24"/>
        </w:rPr>
        <w:lastRenderedPageBreak/>
        <w:t xml:space="preserve">(Listed under Decedents Trust) In March of 2012 there are 835.910671 shares, the difference is </w:t>
      </w:r>
      <w:r w:rsidRPr="005C04BF">
        <w:rPr>
          <w:rFonts w:cs="Times New Roman"/>
          <w:b/>
          <w:bCs/>
          <w:szCs w:val="24"/>
        </w:rPr>
        <w:t>1266.057798 shares</w:t>
      </w:r>
      <w:r w:rsidRPr="005C04BF">
        <w:rPr>
          <w:rFonts w:cs="Times New Roman"/>
          <w:szCs w:val="24"/>
        </w:rPr>
        <w:t xml:space="preserve">. It is shown as value 3/24/2011 of $173,895.85 and in March of 2012 $72,256.12. The difference as shown is </w:t>
      </w:r>
      <w:r w:rsidRPr="005C04BF">
        <w:rPr>
          <w:rFonts w:cs="Times New Roman"/>
          <w:b/>
          <w:bCs/>
          <w:szCs w:val="24"/>
        </w:rPr>
        <w:t>$101,639.73</w:t>
      </w:r>
    </w:p>
    <w:p w:rsidR="001A7FE6" w:rsidRPr="005C04BF" w:rsidRDefault="001A7FE6" w:rsidP="001A7FE6">
      <w:pPr>
        <w:pStyle w:val="Style2"/>
        <w:rPr>
          <w:rFonts w:cs="Times New Roman"/>
          <w:b/>
          <w:bCs/>
          <w:szCs w:val="24"/>
        </w:rPr>
      </w:pPr>
      <w:r w:rsidRPr="005C04BF">
        <w:rPr>
          <w:rFonts w:cs="Times New Roman"/>
          <w:b/>
          <w:bCs/>
          <w:szCs w:val="24"/>
        </w:rPr>
        <w:t>March 25, 2011 Chevron</w:t>
      </w:r>
      <w:r w:rsidRPr="005C04BF">
        <w:rPr>
          <w:rFonts w:cs="Times New Roman"/>
          <w:szCs w:val="24"/>
        </w:rPr>
        <w:t xml:space="preserve"> Acct.# 124921356678… 706.0888 shares transferred to Anita Brunsting allegedly as trustee. Value December 2010 was $75,396.16 and the value March 2012 was $19,012.88 a difference of </w:t>
      </w:r>
      <w:r w:rsidRPr="005C04BF">
        <w:rPr>
          <w:rFonts w:cs="Times New Roman"/>
          <w:b/>
          <w:bCs/>
          <w:szCs w:val="24"/>
        </w:rPr>
        <w:t>$56,383.28</w:t>
      </w:r>
      <w:r w:rsidRPr="005C04BF">
        <w:rPr>
          <w:rFonts w:cs="Times New Roman"/>
          <w:szCs w:val="24"/>
        </w:rPr>
        <w:t xml:space="preserve"> even though the value of the stock had risen. March 25, 2011 there were 706.0888 shares and in March 2012 there were 172.4055 shares, a difference of </w:t>
      </w:r>
      <w:r w:rsidRPr="005C04BF">
        <w:rPr>
          <w:rFonts w:cs="Times New Roman"/>
          <w:b/>
          <w:bCs/>
          <w:szCs w:val="24"/>
        </w:rPr>
        <w:t xml:space="preserve">533.4055 shares. </w:t>
      </w:r>
    </w:p>
    <w:p w:rsidR="001A7FE6" w:rsidRPr="005C04BF" w:rsidRDefault="001A7FE6" w:rsidP="001A7FE6">
      <w:pPr>
        <w:pStyle w:val="Style2"/>
        <w:rPr>
          <w:rFonts w:cs="Times New Roman"/>
          <w:szCs w:val="24"/>
        </w:rPr>
      </w:pPr>
      <w:r w:rsidRPr="005C04BF">
        <w:rPr>
          <w:rFonts w:cs="Times New Roman"/>
          <w:b/>
          <w:bCs/>
          <w:szCs w:val="24"/>
        </w:rPr>
        <w:t>March 25, 2011</w:t>
      </w:r>
      <w:r w:rsidRPr="005C04BF">
        <w:rPr>
          <w:rFonts w:cs="Times New Roman"/>
          <w:szCs w:val="24"/>
        </w:rPr>
        <w:t xml:space="preserve"> </w:t>
      </w:r>
      <w:r w:rsidRPr="005C04BF">
        <w:rPr>
          <w:rFonts w:cs="Times New Roman"/>
          <w:b/>
          <w:bCs/>
          <w:szCs w:val="24"/>
        </w:rPr>
        <w:t>Chevron</w:t>
      </w:r>
      <w:r w:rsidRPr="005C04BF">
        <w:rPr>
          <w:rFonts w:cs="Times New Roman"/>
          <w:szCs w:val="24"/>
        </w:rPr>
        <w:t xml:space="preserve"> Account #125175509293 transferred into an account in the name of ANITA BRUNSTING and no change in share count.</w:t>
      </w:r>
    </w:p>
    <w:p w:rsidR="001A7FE6" w:rsidRPr="005C04BF" w:rsidRDefault="007D403D" w:rsidP="001A7FE6">
      <w:pPr>
        <w:pStyle w:val="Style1"/>
        <w:rPr>
          <w:rFonts w:cs="Times New Roman"/>
          <w:szCs w:val="24"/>
        </w:rPr>
      </w:pPr>
      <w:r w:rsidRPr="005C04BF">
        <w:rPr>
          <w:rFonts w:cs="Times New Roman"/>
          <w:szCs w:val="24"/>
        </w:rPr>
        <w:t xml:space="preserve"> </w:t>
      </w:r>
      <w:r w:rsidR="001A7FE6" w:rsidRPr="005C04BF">
        <w:rPr>
          <w:rFonts w:cs="Times New Roman"/>
          <w:szCs w:val="24"/>
        </w:rPr>
        <w:t xml:space="preserve"> March 27, 2011 Certificate of Trust referring to joint revocable living trust &amp; Certificate of Trust for the Elmer H Brunsting Decedents Trust &amp; Certificate of Trust for the Nelva E Brunsting Survivors Trust. 6pgs</w:t>
      </w:r>
    </w:p>
    <w:p w:rsidR="001A7FE6" w:rsidRPr="005C04BF" w:rsidRDefault="001A7FE6" w:rsidP="001A7FE6">
      <w:pPr>
        <w:pStyle w:val="Style1"/>
        <w:rPr>
          <w:rFonts w:cs="Times New Roman"/>
          <w:szCs w:val="24"/>
        </w:rPr>
      </w:pPr>
      <w:r w:rsidRPr="005C04BF">
        <w:rPr>
          <w:rFonts w:cs="Times New Roman"/>
          <w:szCs w:val="24"/>
        </w:rPr>
        <w:t>March 29, 2011 Amy &amp; Anita meet with Freed</w:t>
      </w:r>
    </w:p>
    <w:p w:rsidR="001A7FE6" w:rsidRPr="005C04BF" w:rsidRDefault="001A7FE6" w:rsidP="001A7FE6">
      <w:pPr>
        <w:pStyle w:val="Style1"/>
        <w:rPr>
          <w:rFonts w:cs="Times New Roman"/>
          <w:b/>
          <w:bCs/>
          <w:szCs w:val="24"/>
        </w:rPr>
      </w:pPr>
      <w:r w:rsidRPr="005C04BF">
        <w:rPr>
          <w:rFonts w:cs="Times New Roman"/>
          <w:b/>
          <w:szCs w:val="24"/>
        </w:rPr>
        <w:t>April 22, 2011</w:t>
      </w:r>
      <w:r w:rsidRPr="005C04BF">
        <w:rPr>
          <w:rFonts w:cs="Times New Roman"/>
          <w:szCs w:val="24"/>
        </w:rPr>
        <w:t xml:space="preserve"> record date of .wav file </w:t>
      </w:r>
      <w:r w:rsidR="005B43B3" w:rsidRPr="005C04BF">
        <w:rPr>
          <w:rFonts w:cs="Times New Roman"/>
          <w:szCs w:val="24"/>
        </w:rPr>
        <w:t xml:space="preserve">of illegal </w:t>
      </w:r>
      <w:r w:rsidRPr="005C04BF">
        <w:rPr>
          <w:rFonts w:cs="Times New Roman"/>
          <w:szCs w:val="24"/>
        </w:rPr>
        <w:t xml:space="preserve">Wiretap recordings received </w:t>
      </w:r>
      <w:r w:rsidR="005B43B3" w:rsidRPr="005C04BF">
        <w:rPr>
          <w:rFonts w:cs="Times New Roman"/>
          <w:szCs w:val="24"/>
        </w:rPr>
        <w:t xml:space="preserve">on CD-ROM via certified mail </w:t>
      </w:r>
      <w:r w:rsidRPr="005C04BF">
        <w:rPr>
          <w:rFonts w:cs="Times New Roman"/>
          <w:szCs w:val="24"/>
        </w:rPr>
        <w:t>from Attorney Brad</w:t>
      </w:r>
      <w:r w:rsidR="005B43B3" w:rsidRPr="005C04BF">
        <w:rPr>
          <w:rFonts w:cs="Times New Roman"/>
          <w:szCs w:val="24"/>
        </w:rPr>
        <w:t>ley</w:t>
      </w:r>
      <w:r w:rsidRPr="005C04BF">
        <w:rPr>
          <w:rFonts w:cs="Times New Roman"/>
          <w:szCs w:val="24"/>
        </w:rPr>
        <w:t xml:space="preserve"> Featherston 7/5/2015)</w:t>
      </w:r>
    </w:p>
    <w:p w:rsidR="001A7FE6" w:rsidRPr="005C04BF" w:rsidRDefault="001A7FE6" w:rsidP="005B43B3">
      <w:pPr>
        <w:pStyle w:val="Style2"/>
        <w:rPr>
          <w:rFonts w:cs="Times New Roman"/>
          <w:szCs w:val="24"/>
        </w:rPr>
      </w:pPr>
      <w:r w:rsidRPr="005C04BF">
        <w:rPr>
          <w:rFonts w:cs="Times New Roman"/>
          <w:b/>
          <w:szCs w:val="24"/>
        </w:rPr>
        <w:t>May 11, 2011</w:t>
      </w:r>
      <w:r w:rsidRPr="005C04BF">
        <w:rPr>
          <w:rFonts w:cs="Times New Roman"/>
          <w:szCs w:val="24"/>
        </w:rPr>
        <w:t xml:space="preserve"> 1120 shares of Exxon Mobil Acct.# C0009467777 distributed to Amy Brunsting.</w:t>
      </w:r>
    </w:p>
    <w:p w:rsidR="001A7FE6" w:rsidRPr="005C04BF" w:rsidRDefault="001A7FE6" w:rsidP="005B43B3">
      <w:pPr>
        <w:pStyle w:val="Style2"/>
        <w:rPr>
          <w:rFonts w:cs="Times New Roman"/>
          <w:szCs w:val="24"/>
        </w:rPr>
      </w:pPr>
      <w:r w:rsidRPr="005C04BF">
        <w:rPr>
          <w:rFonts w:cs="Times New Roman"/>
          <w:b/>
          <w:szCs w:val="24"/>
        </w:rPr>
        <w:t>May 23 &amp; 25, 2011</w:t>
      </w:r>
      <w:r w:rsidRPr="005C04BF">
        <w:rPr>
          <w:rFonts w:cs="Times New Roman"/>
          <w:szCs w:val="24"/>
        </w:rPr>
        <w:t xml:space="preserve"> Carole emails videos of Carl in hospital to herself, Amy &amp; Anita from her android</w:t>
      </w:r>
    </w:p>
    <w:p w:rsidR="001A7FE6" w:rsidRPr="005C04BF" w:rsidRDefault="001A7FE6" w:rsidP="005B43B3">
      <w:pPr>
        <w:pStyle w:val="Style2"/>
        <w:rPr>
          <w:rFonts w:cs="Times New Roman"/>
          <w:szCs w:val="24"/>
        </w:rPr>
      </w:pPr>
      <w:r w:rsidRPr="005C04BF">
        <w:rPr>
          <w:rFonts w:cs="Times New Roman"/>
          <w:b/>
          <w:szCs w:val="24"/>
        </w:rPr>
        <w:t>June 14, 2011</w:t>
      </w:r>
      <w:r w:rsidRPr="005C04BF">
        <w:rPr>
          <w:rFonts w:cs="Times New Roman"/>
          <w:szCs w:val="24"/>
        </w:rPr>
        <w:t xml:space="preserve"> 135 shares Chevron survivors trust to Anita. (That would be </w:t>
      </w:r>
      <w:r w:rsidRPr="005C04BF">
        <w:rPr>
          <w:rFonts w:cs="Times New Roman"/>
          <w:b/>
          <w:bCs/>
          <w:szCs w:val="24"/>
        </w:rPr>
        <w:t>Chevron</w:t>
      </w:r>
      <w:r w:rsidRPr="005C04BF">
        <w:rPr>
          <w:rFonts w:cs="Times New Roman"/>
          <w:szCs w:val="24"/>
        </w:rPr>
        <w:t xml:space="preserve"> Acct.# 124921356678 and explains part of the 533.4055 shares missing from schedule B.</w:t>
      </w:r>
    </w:p>
    <w:p w:rsidR="001A7FE6" w:rsidRPr="005C04BF" w:rsidRDefault="001A7FE6" w:rsidP="005B43B3">
      <w:pPr>
        <w:pStyle w:val="Style2"/>
        <w:rPr>
          <w:rFonts w:cs="Times New Roman"/>
          <w:szCs w:val="24"/>
        </w:rPr>
      </w:pPr>
      <w:r w:rsidRPr="005C04BF">
        <w:rPr>
          <w:rFonts w:cs="Times New Roman"/>
          <w:b/>
          <w:szCs w:val="24"/>
        </w:rPr>
        <w:t>June 14, 2011</w:t>
      </w:r>
      <w:r w:rsidRPr="005C04BF">
        <w:rPr>
          <w:rFonts w:cs="Times New Roman"/>
          <w:szCs w:val="24"/>
        </w:rPr>
        <w:t xml:space="preserve"> 540 shares </w:t>
      </w:r>
      <w:r w:rsidRPr="005C04BF">
        <w:rPr>
          <w:rFonts w:cs="Times New Roman"/>
          <w:b/>
          <w:bCs/>
          <w:szCs w:val="24"/>
        </w:rPr>
        <w:t>Chevron</w:t>
      </w:r>
      <w:r w:rsidRPr="005C04BF">
        <w:rPr>
          <w:rFonts w:cs="Times New Roman"/>
          <w:szCs w:val="24"/>
        </w:rPr>
        <w:t xml:space="preserve"> Acct.# 124921356678 to Anita for her children, listed as gifts. This explains the rest.</w:t>
      </w:r>
    </w:p>
    <w:p w:rsidR="001A7FE6" w:rsidRPr="005C04BF" w:rsidRDefault="001A7FE6" w:rsidP="005B43B3">
      <w:pPr>
        <w:pStyle w:val="Style2"/>
        <w:rPr>
          <w:rFonts w:cs="Times New Roman"/>
          <w:szCs w:val="24"/>
        </w:rPr>
      </w:pPr>
      <w:r w:rsidRPr="005C04BF">
        <w:rPr>
          <w:rFonts w:cs="Times New Roman"/>
          <w:b/>
          <w:szCs w:val="24"/>
        </w:rPr>
        <w:t>June 15, 2011</w:t>
      </w:r>
      <w:r w:rsidRPr="005C04BF">
        <w:rPr>
          <w:rFonts w:cs="Times New Roman"/>
          <w:szCs w:val="24"/>
        </w:rPr>
        <w:t xml:space="preserve"> 1325 shares </w:t>
      </w:r>
      <w:r w:rsidRPr="005C04BF">
        <w:rPr>
          <w:rFonts w:cs="Times New Roman"/>
          <w:b/>
          <w:bCs/>
          <w:szCs w:val="24"/>
        </w:rPr>
        <w:t>Exxon</w:t>
      </w:r>
      <w:r w:rsidRPr="005C04BF">
        <w:rPr>
          <w:rFonts w:cs="Times New Roman"/>
          <w:szCs w:val="24"/>
        </w:rPr>
        <w:t xml:space="preserve"> Account #C0009467769 from the Decedents trust distributed to Carole. </w:t>
      </w:r>
      <w:r w:rsidRPr="005C04BF">
        <w:rPr>
          <w:rFonts w:cs="Times New Roman"/>
          <w:b/>
          <w:bCs/>
          <w:szCs w:val="24"/>
        </w:rPr>
        <w:t>Not even the lawful co-trustees had the power to do this under the terms of the BFLT.</w:t>
      </w:r>
    </w:p>
    <w:p w:rsidR="00124726" w:rsidRPr="005C04BF" w:rsidRDefault="00124726" w:rsidP="00124726">
      <w:pPr>
        <w:pStyle w:val="Style2"/>
        <w:rPr>
          <w:rFonts w:cs="Times New Roman"/>
          <w:szCs w:val="24"/>
        </w:rPr>
      </w:pPr>
      <w:r w:rsidRPr="005C04BF">
        <w:rPr>
          <w:rFonts w:cs="Times New Roman"/>
          <w:szCs w:val="24"/>
        </w:rPr>
        <w:t>On June 15, 2011 Candace Curtis received 160 shares of Exxon stock in an account previously established in her name. Exxon Mobil Acct.# C0009467777. 1266.057798 shares missing in schedule B, 1120 Amy 160 Candy = 1280??? What’s up with that?</w:t>
      </w:r>
    </w:p>
    <w:p w:rsidR="00444029" w:rsidRPr="005C04BF" w:rsidRDefault="005B43B3" w:rsidP="005B43B3">
      <w:pPr>
        <w:pStyle w:val="Style1"/>
        <w:rPr>
          <w:rFonts w:cs="Times New Roman"/>
          <w:szCs w:val="24"/>
        </w:rPr>
      </w:pPr>
      <w:r w:rsidRPr="005C04BF">
        <w:rPr>
          <w:rFonts w:cs="Times New Roman"/>
          <w:szCs w:val="24"/>
        </w:rPr>
        <w:t>Nelva Brunsting Passed November 11, 2011.</w:t>
      </w:r>
    </w:p>
    <w:p w:rsidR="001A7FE6" w:rsidRPr="005C04BF" w:rsidRDefault="001A7FE6" w:rsidP="00444029">
      <w:pPr>
        <w:pStyle w:val="Style1"/>
        <w:rPr>
          <w:rFonts w:cs="Times New Roman"/>
          <w:szCs w:val="24"/>
        </w:rPr>
      </w:pPr>
    </w:p>
    <w:p w:rsidR="00E161B5" w:rsidRPr="005C04BF" w:rsidRDefault="00E161B5" w:rsidP="00E161B5">
      <w:pPr>
        <w:rPr>
          <w:rFonts w:cs="Times New Roman"/>
          <w:sz w:val="24"/>
          <w:szCs w:val="24"/>
        </w:rPr>
      </w:pPr>
    </w:p>
    <w:p w:rsidR="002447B8" w:rsidRPr="005C04BF" w:rsidRDefault="002447B8">
      <w:pPr>
        <w:rPr>
          <w:rFonts w:cs="Times New Roman"/>
          <w:b/>
          <w:sz w:val="24"/>
          <w:szCs w:val="24"/>
        </w:rPr>
      </w:pPr>
      <w:r w:rsidRPr="005C04BF">
        <w:rPr>
          <w:rFonts w:cs="Times New Roman"/>
          <w:sz w:val="24"/>
          <w:szCs w:val="24"/>
        </w:rPr>
        <w:br w:type="page"/>
      </w:r>
    </w:p>
    <w:p w:rsidR="006D007C" w:rsidRPr="005C04BF" w:rsidRDefault="006D007C" w:rsidP="006D007C">
      <w:pPr>
        <w:pStyle w:val="Heading2"/>
        <w:rPr>
          <w:rFonts w:cs="Times New Roman"/>
          <w:sz w:val="24"/>
          <w:szCs w:val="24"/>
        </w:rPr>
      </w:pPr>
      <w:r w:rsidRPr="005C04BF">
        <w:rPr>
          <w:rFonts w:cs="Times New Roman"/>
          <w:sz w:val="24"/>
          <w:szCs w:val="24"/>
        </w:rPr>
        <w:lastRenderedPageBreak/>
        <w:t>Anita Brunsting and Amy Brunsting</w:t>
      </w:r>
    </w:p>
    <w:p w:rsidR="006D007C" w:rsidRPr="005C04BF" w:rsidRDefault="006D007C" w:rsidP="006D007C">
      <w:pPr>
        <w:pStyle w:val="Heading2"/>
        <w:spacing w:after="0" w:line="240" w:lineRule="auto"/>
        <w:contextualSpacing/>
        <w:rPr>
          <w:rFonts w:cs="Times New Roman"/>
          <w:sz w:val="24"/>
          <w:szCs w:val="24"/>
        </w:rPr>
      </w:pPr>
      <w:r w:rsidRPr="005C04BF">
        <w:rPr>
          <w:rFonts w:cs="Times New Roman"/>
          <w:sz w:val="24"/>
          <w:szCs w:val="24"/>
        </w:rPr>
        <w:t>Anita Kay Brunsting</w:t>
      </w:r>
    </w:p>
    <w:p w:rsidR="006D007C" w:rsidRPr="005C04BF" w:rsidRDefault="003C353A" w:rsidP="006D007C">
      <w:pPr>
        <w:spacing w:after="0" w:line="240" w:lineRule="auto"/>
        <w:contextualSpacing/>
        <w:rPr>
          <w:rFonts w:cs="Times New Roman"/>
          <w:sz w:val="24"/>
          <w:szCs w:val="24"/>
        </w:rPr>
      </w:pPr>
      <w:hyperlink r:id="rId9" w:history="1">
        <w:r w:rsidR="006D007C" w:rsidRPr="005C04BF">
          <w:rPr>
            <w:rStyle w:val="Hyperlink"/>
            <w:rFonts w:cs="Times New Roman"/>
            <w:sz w:val="24"/>
            <w:szCs w:val="24"/>
          </w:rPr>
          <w:t>akbrunsting@suddenlink.net</w:t>
        </w:r>
      </w:hyperlink>
    </w:p>
    <w:p w:rsidR="006D007C" w:rsidRPr="005C04BF" w:rsidRDefault="006D007C" w:rsidP="006D007C">
      <w:pPr>
        <w:pStyle w:val="NoSpacing"/>
        <w:contextualSpacing/>
        <w:rPr>
          <w:rFonts w:cs="Times New Roman"/>
          <w:sz w:val="24"/>
          <w:szCs w:val="24"/>
        </w:rPr>
      </w:pPr>
      <w:r w:rsidRPr="005C04BF">
        <w:rPr>
          <w:rFonts w:cs="Times New Roman"/>
          <w:sz w:val="24"/>
          <w:szCs w:val="24"/>
        </w:rPr>
        <w:t>203 Bloomingdale Circle</w:t>
      </w:r>
    </w:p>
    <w:p w:rsidR="006D007C" w:rsidRPr="005C04BF" w:rsidRDefault="006D007C" w:rsidP="006D007C">
      <w:pPr>
        <w:pStyle w:val="NoSpacing"/>
        <w:contextualSpacing/>
        <w:rPr>
          <w:rFonts w:cs="Times New Roman"/>
          <w:sz w:val="24"/>
          <w:szCs w:val="24"/>
        </w:rPr>
      </w:pPr>
      <w:r w:rsidRPr="005C04BF">
        <w:rPr>
          <w:rFonts w:cs="Times New Roman"/>
          <w:sz w:val="24"/>
          <w:szCs w:val="24"/>
        </w:rPr>
        <w:t>Victoria, TX 77904</w:t>
      </w:r>
    </w:p>
    <w:p w:rsidR="006D007C" w:rsidRPr="005C04BF" w:rsidRDefault="006D007C" w:rsidP="006D007C">
      <w:pPr>
        <w:pStyle w:val="NoSpacing"/>
        <w:rPr>
          <w:rFonts w:cs="Times New Roman"/>
          <w:sz w:val="24"/>
          <w:szCs w:val="24"/>
        </w:rPr>
      </w:pPr>
    </w:p>
    <w:p w:rsidR="006D007C" w:rsidRPr="005C04BF" w:rsidRDefault="006D007C" w:rsidP="006D007C">
      <w:pPr>
        <w:pStyle w:val="Heading2"/>
        <w:spacing w:after="0" w:line="240" w:lineRule="auto"/>
        <w:contextualSpacing/>
        <w:rPr>
          <w:rFonts w:cs="Times New Roman"/>
          <w:sz w:val="24"/>
          <w:szCs w:val="24"/>
        </w:rPr>
      </w:pPr>
      <w:r w:rsidRPr="005C04BF">
        <w:rPr>
          <w:rFonts w:cs="Times New Roman"/>
          <w:sz w:val="24"/>
          <w:szCs w:val="24"/>
        </w:rPr>
        <w:t>Amy Ruth Brunsting</w:t>
      </w:r>
    </w:p>
    <w:p w:rsidR="006D007C" w:rsidRPr="005C04BF" w:rsidRDefault="003C353A" w:rsidP="006D007C">
      <w:pPr>
        <w:spacing w:after="0" w:line="240" w:lineRule="auto"/>
        <w:contextualSpacing/>
        <w:rPr>
          <w:rFonts w:cs="Times New Roman"/>
          <w:sz w:val="24"/>
          <w:szCs w:val="24"/>
        </w:rPr>
      </w:pPr>
      <w:hyperlink r:id="rId10" w:history="1">
        <w:r w:rsidR="006D007C" w:rsidRPr="005C04BF">
          <w:rPr>
            <w:rStyle w:val="Hyperlink"/>
            <w:rFonts w:cs="Times New Roman"/>
            <w:sz w:val="24"/>
            <w:szCs w:val="24"/>
          </w:rPr>
          <w:t>at.home3@yahoo.com</w:t>
        </w:r>
      </w:hyperlink>
    </w:p>
    <w:p w:rsidR="006D007C" w:rsidRPr="005C04BF" w:rsidRDefault="006D007C" w:rsidP="006D007C">
      <w:pPr>
        <w:pStyle w:val="NoSpacing"/>
        <w:contextualSpacing/>
        <w:rPr>
          <w:rFonts w:cs="Times New Roman"/>
          <w:sz w:val="24"/>
          <w:szCs w:val="24"/>
        </w:rPr>
      </w:pPr>
      <w:r w:rsidRPr="005C04BF">
        <w:rPr>
          <w:rFonts w:cs="Times New Roman"/>
          <w:sz w:val="24"/>
          <w:szCs w:val="24"/>
        </w:rPr>
        <w:t>2582 Country Ledge</w:t>
      </w:r>
      <w:r w:rsidR="00BA2931" w:rsidRPr="005C04BF">
        <w:rPr>
          <w:rFonts w:cs="Times New Roman"/>
          <w:sz w:val="24"/>
          <w:szCs w:val="24"/>
        </w:rPr>
        <w:t xml:space="preserve"> </w:t>
      </w:r>
      <w:r w:rsidRPr="005C04BF">
        <w:rPr>
          <w:rFonts w:cs="Times New Roman"/>
          <w:sz w:val="24"/>
          <w:szCs w:val="24"/>
        </w:rPr>
        <w:t>New Braunfels, TX 78132</w:t>
      </w:r>
    </w:p>
    <w:p w:rsidR="006D007C" w:rsidRPr="005C04BF" w:rsidRDefault="00F6798E" w:rsidP="006D007C">
      <w:pPr>
        <w:pStyle w:val="NoSpacing"/>
        <w:rPr>
          <w:rFonts w:cs="Times New Roman"/>
          <w:sz w:val="24"/>
          <w:szCs w:val="24"/>
        </w:rPr>
      </w:pPr>
      <w:r w:rsidRPr="005C04BF">
        <w:rPr>
          <w:rFonts w:cs="Times New Roman"/>
          <w:sz w:val="24"/>
          <w:szCs w:val="24"/>
        </w:rPr>
        <w:t>While Amy hasn’t directly participated in Anita’s shenanigans she has gone along none-the-less and has been the one to jump up in court and claim ignorance and innocence while Anita remains silent</w:t>
      </w:r>
    </w:p>
    <w:p w:rsidR="006D007C" w:rsidRPr="005C04BF" w:rsidRDefault="006D007C" w:rsidP="00AF6A1F">
      <w:pPr>
        <w:pStyle w:val="ListParagraph"/>
        <w:numPr>
          <w:ilvl w:val="0"/>
          <w:numId w:val="2"/>
        </w:numPr>
        <w:rPr>
          <w:rFonts w:cs="Times New Roman"/>
          <w:sz w:val="24"/>
          <w:szCs w:val="24"/>
        </w:rPr>
      </w:pPr>
    </w:p>
    <w:p w:rsidR="009A5A94" w:rsidRPr="005C04BF" w:rsidRDefault="00A67B90" w:rsidP="00F22EC3">
      <w:pPr>
        <w:pStyle w:val="Heading2"/>
        <w:rPr>
          <w:rFonts w:cs="Times New Roman"/>
          <w:sz w:val="24"/>
          <w:szCs w:val="24"/>
        </w:rPr>
      </w:pPr>
      <w:r w:rsidRPr="005C04BF">
        <w:rPr>
          <w:rFonts w:cs="Times New Roman"/>
          <w:sz w:val="24"/>
          <w:szCs w:val="24"/>
        </w:rPr>
        <w:t xml:space="preserve">Attorney </w:t>
      </w:r>
      <w:r w:rsidR="00A352DD" w:rsidRPr="005C04BF">
        <w:rPr>
          <w:rFonts w:cs="Times New Roman"/>
          <w:sz w:val="24"/>
          <w:szCs w:val="24"/>
        </w:rPr>
        <w:t xml:space="preserve">Bernard Lyle Mathews III </w:t>
      </w:r>
    </w:p>
    <w:p w:rsidR="009A5A94" w:rsidRPr="005C04BF" w:rsidRDefault="009A5A94" w:rsidP="00444029">
      <w:pPr>
        <w:pStyle w:val="Style1"/>
        <w:rPr>
          <w:rFonts w:cs="Times New Roman"/>
          <w:szCs w:val="24"/>
        </w:rPr>
      </w:pPr>
      <w:r w:rsidRPr="005C04BF">
        <w:rPr>
          <w:rFonts w:cs="Times New Roman"/>
          <w:szCs w:val="24"/>
        </w:rPr>
        <w:t>The first lawsuit filed a</w:t>
      </w:r>
      <w:r w:rsidR="00A67B90" w:rsidRPr="005C04BF">
        <w:rPr>
          <w:rFonts w:cs="Times New Roman"/>
          <w:szCs w:val="24"/>
        </w:rPr>
        <w:t xml:space="preserve">fter Freed’s betrayal and manufacture of disrupting estate plan instruments </w:t>
      </w:r>
      <w:r w:rsidRPr="005C04BF">
        <w:rPr>
          <w:rFonts w:cs="Times New Roman"/>
          <w:szCs w:val="24"/>
        </w:rPr>
        <w:t xml:space="preserve">was </w:t>
      </w:r>
      <w:r w:rsidRPr="005C04BF">
        <w:rPr>
          <w:rFonts w:cs="Times New Roman"/>
          <w:i/>
          <w:szCs w:val="24"/>
        </w:rPr>
        <w:t>Candace Louise Curtis vs Anita and Amy Brunsting 4:12-cv-592 filed TXSD February 27, 2012.</w:t>
      </w:r>
    </w:p>
    <w:p w:rsidR="009A5A94" w:rsidRPr="005C04BF" w:rsidRDefault="00A67B90" w:rsidP="00444029">
      <w:pPr>
        <w:pStyle w:val="Style1"/>
        <w:rPr>
          <w:rFonts w:cs="Times New Roman"/>
          <w:szCs w:val="24"/>
        </w:rPr>
      </w:pPr>
      <w:r w:rsidRPr="005C04BF">
        <w:rPr>
          <w:rFonts w:cs="Times New Roman"/>
          <w:b/>
          <w:szCs w:val="24"/>
        </w:rPr>
        <w:t xml:space="preserve">V &amp; F </w:t>
      </w:r>
      <w:r w:rsidRPr="005C04BF">
        <w:rPr>
          <w:rFonts w:cs="Times New Roman"/>
          <w:szCs w:val="24"/>
        </w:rPr>
        <w:t xml:space="preserve">- </w:t>
      </w:r>
      <w:r w:rsidR="009A5A94" w:rsidRPr="005C04BF">
        <w:rPr>
          <w:rFonts w:cs="Times New Roman"/>
          <w:szCs w:val="24"/>
        </w:rPr>
        <w:t>Vacek &amp; Freed P.L.L.P staff attorney Bernard Mathews entered the case on the side of Anita and Amy Brunsting</w:t>
      </w:r>
      <w:r w:rsidRPr="005C04BF">
        <w:rPr>
          <w:rFonts w:cs="Times New Roman"/>
          <w:szCs w:val="24"/>
        </w:rPr>
        <w:t xml:space="preserve"> against the other three (disenfranchised) Brunsting trust beneficiaries</w:t>
      </w:r>
      <w:r w:rsidR="009A5A94" w:rsidRPr="005C04BF">
        <w:rPr>
          <w:rFonts w:cs="Times New Roman"/>
          <w:szCs w:val="24"/>
        </w:rPr>
        <w:t>, disguising his conflict of interest under the law firm label of “Green and Mathews”.</w:t>
      </w:r>
    </w:p>
    <w:p w:rsidR="00A67B90" w:rsidRPr="005C04BF" w:rsidRDefault="008E1020" w:rsidP="00444029">
      <w:pPr>
        <w:pStyle w:val="Style1"/>
        <w:rPr>
          <w:rFonts w:cs="Times New Roman"/>
          <w:szCs w:val="24"/>
        </w:rPr>
      </w:pPr>
      <w:r w:rsidRPr="005C04BF">
        <w:rPr>
          <w:rFonts w:cs="Times New Roman"/>
          <w:szCs w:val="24"/>
        </w:rPr>
        <w:t>Mathews disguised his conflict of interest using the law firm label “</w:t>
      </w:r>
      <w:r w:rsidRPr="005C04BF">
        <w:rPr>
          <w:rFonts w:cs="Times New Roman"/>
          <w:b/>
          <w:szCs w:val="24"/>
        </w:rPr>
        <w:t>Green and Mathews</w:t>
      </w:r>
      <w:r w:rsidRPr="005C04BF">
        <w:rPr>
          <w:rFonts w:cs="Times New Roman"/>
          <w:szCs w:val="24"/>
        </w:rPr>
        <w:t>”</w:t>
      </w:r>
    </w:p>
    <w:p w:rsidR="00A67B90" w:rsidRPr="005C04BF" w:rsidRDefault="00A67B90" w:rsidP="00A67B90">
      <w:pPr>
        <w:pStyle w:val="Heading2"/>
        <w:rPr>
          <w:rFonts w:cs="Times New Roman"/>
          <w:sz w:val="24"/>
          <w:szCs w:val="24"/>
        </w:rPr>
      </w:pPr>
      <w:r w:rsidRPr="005C04BF">
        <w:rPr>
          <w:rFonts w:cs="Times New Roman"/>
          <w:sz w:val="24"/>
          <w:szCs w:val="24"/>
        </w:rPr>
        <w:t>Attorney Bobbie G. Bayless</w:t>
      </w:r>
    </w:p>
    <w:p w:rsidR="00F22EC3" w:rsidRPr="005C04BF" w:rsidRDefault="00F22EC3" w:rsidP="00444029">
      <w:pPr>
        <w:pStyle w:val="Style1"/>
        <w:rPr>
          <w:rFonts w:cs="Times New Roman"/>
          <w:szCs w:val="24"/>
        </w:rPr>
      </w:pPr>
      <w:r w:rsidRPr="005C04BF">
        <w:rPr>
          <w:rFonts w:cs="Times New Roman"/>
          <w:szCs w:val="24"/>
        </w:rPr>
        <w:t xml:space="preserve">Bayless filed living trust related lawsuits against co-conspirators in two separate state courts, knowing the Trust controversy was already in the custody of a federal court and that only one court can have dominant jurisdiction over that controversy. </w:t>
      </w:r>
    </w:p>
    <w:p w:rsidR="00F22EC3" w:rsidRPr="005C04BF" w:rsidRDefault="00F22EC3" w:rsidP="00444029">
      <w:pPr>
        <w:pStyle w:val="Style1"/>
        <w:rPr>
          <w:rFonts w:cs="Times New Roman"/>
          <w:szCs w:val="24"/>
        </w:rPr>
      </w:pPr>
      <w:r w:rsidRPr="005C04BF">
        <w:rPr>
          <w:rFonts w:cs="Times New Roman"/>
          <w:szCs w:val="24"/>
        </w:rPr>
        <w:t>Bayless filed a living trust related lawsuit in the Harris County Probate knowing the Fifth Circuit Court of Appeals had already declared that the Brunsting trust was not subject to probate administration</w:t>
      </w:r>
    </w:p>
    <w:p w:rsidR="00F22EC3" w:rsidRPr="005C04BF" w:rsidRDefault="00F22EC3" w:rsidP="00444029">
      <w:pPr>
        <w:pStyle w:val="Style1"/>
        <w:rPr>
          <w:rFonts w:cs="Times New Roman"/>
          <w:szCs w:val="24"/>
        </w:rPr>
      </w:pPr>
      <w:r w:rsidRPr="005C04BF">
        <w:rPr>
          <w:rFonts w:cs="Times New Roman"/>
          <w:szCs w:val="24"/>
        </w:rPr>
        <w:t xml:space="preserve">Bayless participated in the conversion of Curtis lawsuit into her sham probate matter and the conversion of de jure plaintiff Curtis into a nominal defendant, </w:t>
      </w:r>
      <w:r w:rsidR="0068707B" w:rsidRPr="005C04BF">
        <w:rPr>
          <w:rFonts w:cs="Times New Roman"/>
          <w:szCs w:val="24"/>
        </w:rPr>
        <w:t>(</w:t>
      </w:r>
      <w:r w:rsidRPr="005C04BF">
        <w:rPr>
          <w:rFonts w:cs="Times New Roman"/>
          <w:szCs w:val="24"/>
        </w:rPr>
        <w:t>a mere bystander</w:t>
      </w:r>
      <w:r w:rsidR="0068707B" w:rsidRPr="005C04BF">
        <w:rPr>
          <w:rFonts w:cs="Times New Roman"/>
          <w:szCs w:val="24"/>
        </w:rPr>
        <w:t>).</w:t>
      </w:r>
    </w:p>
    <w:p w:rsidR="00F22EC3" w:rsidRPr="005C04BF" w:rsidRDefault="00F22EC3" w:rsidP="00444029">
      <w:pPr>
        <w:pStyle w:val="Style1"/>
        <w:rPr>
          <w:rFonts w:cs="Times New Roman"/>
          <w:szCs w:val="24"/>
        </w:rPr>
      </w:pPr>
      <w:r w:rsidRPr="005C04BF">
        <w:rPr>
          <w:rFonts w:cs="Times New Roman"/>
          <w:szCs w:val="24"/>
        </w:rPr>
        <w:t>Bayless made herself an accessory to illegal wiretapping when she participated in using those recordings as an excuse to avoid Summary Judgement hearings.</w:t>
      </w:r>
    </w:p>
    <w:p w:rsidR="009F49EB" w:rsidRPr="005C04BF" w:rsidRDefault="009F49EB" w:rsidP="00444029">
      <w:pPr>
        <w:pStyle w:val="Style1"/>
        <w:rPr>
          <w:rFonts w:cs="Times New Roman"/>
          <w:szCs w:val="24"/>
        </w:rPr>
      </w:pPr>
      <w:r w:rsidRPr="005C04BF">
        <w:rPr>
          <w:rFonts w:cs="Times New Roman"/>
          <w:szCs w:val="24"/>
        </w:rPr>
        <w:t xml:space="preserve">Bayless is making </w:t>
      </w:r>
      <w:r w:rsidR="0068707B" w:rsidRPr="005C04BF">
        <w:rPr>
          <w:rFonts w:cs="Times New Roman"/>
          <w:szCs w:val="24"/>
        </w:rPr>
        <w:t xml:space="preserve">herself an accessory to forgery, </w:t>
      </w:r>
      <w:r w:rsidRPr="005C04BF">
        <w:rPr>
          <w:rFonts w:cs="Times New Roman"/>
          <w:szCs w:val="24"/>
        </w:rPr>
        <w:t xml:space="preserve">attempting to shift the burden of proving the invalidity </w:t>
      </w:r>
      <w:r w:rsidR="00B464C0" w:rsidRPr="005C04BF">
        <w:rPr>
          <w:rFonts w:cs="Times New Roman"/>
          <w:szCs w:val="24"/>
        </w:rPr>
        <w:t>of forged instruments on</w:t>
      </w:r>
      <w:r w:rsidRPr="005C04BF">
        <w:rPr>
          <w:rFonts w:cs="Times New Roman"/>
          <w:szCs w:val="24"/>
        </w:rPr>
        <w:t>to her client</w:t>
      </w:r>
      <w:r w:rsidR="0068707B" w:rsidRPr="005C04BF">
        <w:rPr>
          <w:rFonts w:cs="Times New Roman"/>
          <w:szCs w:val="24"/>
        </w:rPr>
        <w:t>,</w:t>
      </w:r>
      <w:r w:rsidR="00B464C0" w:rsidRPr="005C04BF">
        <w:rPr>
          <w:rFonts w:cs="Times New Roman"/>
          <w:szCs w:val="24"/>
        </w:rPr>
        <w:t xml:space="preserve"> by arguing</w:t>
      </w:r>
      <w:r w:rsidRPr="005C04BF">
        <w:rPr>
          <w:rFonts w:cs="Times New Roman"/>
          <w:szCs w:val="24"/>
        </w:rPr>
        <w:t xml:space="preserve"> its content when it is not even in evidence</w:t>
      </w:r>
      <w:r w:rsidR="00B464C0" w:rsidRPr="005C04BF">
        <w:rPr>
          <w:rFonts w:cs="Times New Roman"/>
          <w:szCs w:val="24"/>
        </w:rPr>
        <w:t xml:space="preserve"> and cannot be qualified as evidence</w:t>
      </w:r>
      <w:r w:rsidRPr="005C04BF">
        <w:rPr>
          <w:rFonts w:cs="Times New Roman"/>
          <w:szCs w:val="24"/>
        </w:rPr>
        <w:t xml:space="preserve">.  </w:t>
      </w:r>
    </w:p>
    <w:p w:rsidR="00F22EC3" w:rsidRPr="005C04BF" w:rsidRDefault="00F22EC3" w:rsidP="00444029">
      <w:pPr>
        <w:pStyle w:val="Style1"/>
        <w:rPr>
          <w:rFonts w:cs="Times New Roman"/>
          <w:szCs w:val="24"/>
        </w:rPr>
      </w:pPr>
      <w:r w:rsidRPr="005C04BF">
        <w:rPr>
          <w:rFonts w:cs="Times New Roman"/>
          <w:szCs w:val="24"/>
        </w:rPr>
        <w:lastRenderedPageBreak/>
        <w:t xml:space="preserve">Bayless not only filed trust related claims in two state courts that could not assume jurisdiction, she filed in the probate court after filing in the District court and </w:t>
      </w:r>
      <w:r w:rsidR="00B464C0" w:rsidRPr="005C04BF">
        <w:rPr>
          <w:rFonts w:cs="Times New Roman"/>
          <w:szCs w:val="24"/>
        </w:rPr>
        <w:t xml:space="preserve">then </w:t>
      </w:r>
      <w:r w:rsidRPr="005C04BF">
        <w:rPr>
          <w:rFonts w:cs="Times New Roman"/>
          <w:szCs w:val="24"/>
        </w:rPr>
        <w:t>moved to have the district cou</w:t>
      </w:r>
      <w:r w:rsidR="0068707B" w:rsidRPr="005C04BF">
        <w:rPr>
          <w:rFonts w:cs="Times New Roman"/>
          <w:szCs w:val="24"/>
        </w:rPr>
        <w:t>rt case transferred to probate.</w:t>
      </w:r>
      <w:r w:rsidRPr="005C04BF">
        <w:rPr>
          <w:rFonts w:cs="Times New Roman"/>
          <w:szCs w:val="24"/>
        </w:rPr>
        <w:t xml:space="preserve"> </w:t>
      </w:r>
    </w:p>
    <w:p w:rsidR="00036C7B" w:rsidRPr="005C04BF" w:rsidRDefault="00036C7B" w:rsidP="00036C7B">
      <w:pPr>
        <w:pStyle w:val="Heading1"/>
        <w:rPr>
          <w:rFonts w:cs="Times New Roman"/>
          <w:sz w:val="24"/>
          <w:szCs w:val="24"/>
        </w:rPr>
      </w:pPr>
      <w:r w:rsidRPr="005C04BF">
        <w:rPr>
          <w:rFonts w:cs="Times New Roman"/>
          <w:sz w:val="24"/>
          <w:szCs w:val="24"/>
        </w:rPr>
        <w:t>Bobbie G. Bayless</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rPr>
        <w:tab/>
        <w:t>Bobbie Bayless represents co-plaintiff Carl Brunsting.</w:t>
      </w:r>
    </w:p>
    <w:p w:rsidR="00036C7B" w:rsidRPr="005C04BF" w:rsidRDefault="00036C7B" w:rsidP="00036C7B">
      <w:pPr>
        <w:pStyle w:val="ListParagraph"/>
        <w:numPr>
          <w:ilvl w:val="0"/>
          <w:numId w:val="9"/>
        </w:numPr>
        <w:ind w:hanging="720"/>
        <w:rPr>
          <w:rFonts w:cs="Times New Roman"/>
          <w:b/>
          <w:sz w:val="24"/>
          <w:szCs w:val="24"/>
        </w:rPr>
      </w:pPr>
      <w:r w:rsidRPr="005C04BF">
        <w:rPr>
          <w:rFonts w:cs="Times New Roman"/>
          <w:b/>
          <w:sz w:val="24"/>
          <w:szCs w:val="24"/>
        </w:rPr>
        <w:t>No. 4:12-CV-00592; Candace Louise Curtis v. Anita Kay Brunsting and Amy Ruth Brunsting filed TXSD:</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u w:val="single"/>
        </w:rPr>
        <w:t>February 27, 2012</w:t>
      </w:r>
      <w:r w:rsidRPr="005C04BF">
        <w:rPr>
          <w:rFonts w:cs="Times New Roman"/>
          <w:sz w:val="24"/>
          <w:szCs w:val="24"/>
        </w:rPr>
        <w:t xml:space="preserve"> Plaintiff Candace Curtis filed a breach of fiduciary suit in the Southern District of Texas under diversity jurisdiction seeking an accounting and fiduciary disclosures and alleging constructive fraud; </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u w:val="single"/>
        </w:rPr>
        <w:t>March 8, 2012</w:t>
      </w:r>
      <w:r w:rsidRPr="005C04BF">
        <w:rPr>
          <w:rFonts w:cs="Times New Roman"/>
          <w:sz w:val="24"/>
          <w:szCs w:val="24"/>
        </w:rPr>
        <w:t xml:space="preserve"> Plaintiff Curtis Cause, No. 4:12-CV-00592, was dismissed sua sponte under the probate exception to federal diversity jurisdiction and plaintiff Curtis timely filed notice of appeal.</w:t>
      </w:r>
    </w:p>
    <w:p w:rsidR="00036C7B" w:rsidRPr="005C04BF" w:rsidRDefault="00036C7B" w:rsidP="00036C7B">
      <w:pPr>
        <w:pStyle w:val="ListParagraph"/>
        <w:numPr>
          <w:ilvl w:val="0"/>
          <w:numId w:val="9"/>
        </w:numPr>
        <w:ind w:hanging="720"/>
        <w:rPr>
          <w:rFonts w:cs="Times New Roman"/>
          <w:b/>
          <w:sz w:val="24"/>
          <w:szCs w:val="24"/>
        </w:rPr>
      </w:pPr>
      <w:r w:rsidRPr="005C04BF">
        <w:rPr>
          <w:rFonts w:cs="Times New Roman"/>
          <w:b/>
          <w:sz w:val="24"/>
          <w:szCs w:val="24"/>
        </w:rPr>
        <w:t>Harris County 164</w:t>
      </w:r>
      <w:r w:rsidRPr="005C04BF">
        <w:rPr>
          <w:rFonts w:cs="Times New Roman"/>
          <w:b/>
          <w:sz w:val="24"/>
          <w:szCs w:val="24"/>
          <w:vertAlign w:val="superscript"/>
        </w:rPr>
        <w:t>th</w:t>
      </w:r>
      <w:r w:rsidRPr="005C04BF">
        <w:rPr>
          <w:rFonts w:cs="Times New Roman"/>
          <w:b/>
          <w:sz w:val="24"/>
          <w:szCs w:val="24"/>
        </w:rPr>
        <w:t xml:space="preserve"> Judicial District Court #2012 14538</w:t>
      </w:r>
      <w:r w:rsidR="00F11946" w:rsidRPr="005C04BF">
        <w:rPr>
          <w:rFonts w:cs="Times New Roman"/>
          <w:b/>
          <w:sz w:val="24"/>
          <w:szCs w:val="24"/>
        </w:rPr>
        <w:t xml:space="preserve"> </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u w:val="single"/>
        </w:rPr>
        <w:t>March 9, 2012</w:t>
      </w:r>
      <w:r w:rsidRPr="005C04BF">
        <w:rPr>
          <w:rFonts w:cs="Times New Roman"/>
          <w:sz w:val="24"/>
          <w:szCs w:val="24"/>
        </w:rPr>
        <w:t xml:space="preserve"> Bobbie Bayless filed a petition to take depositions before suit.</w:t>
      </w:r>
    </w:p>
    <w:p w:rsidR="00036C7B" w:rsidRPr="005C04BF" w:rsidRDefault="00036C7B" w:rsidP="00036C7B">
      <w:pPr>
        <w:pStyle w:val="ListParagraph"/>
        <w:ind w:hanging="720"/>
        <w:rPr>
          <w:rFonts w:cs="Times New Roman"/>
          <w:sz w:val="24"/>
          <w:szCs w:val="24"/>
        </w:rPr>
      </w:pPr>
      <w:r w:rsidRPr="005C04BF">
        <w:rPr>
          <w:rFonts w:cs="Times New Roman"/>
          <w:sz w:val="24"/>
          <w:szCs w:val="24"/>
        </w:rPr>
        <w:t>---</w:t>
      </w:r>
    </w:p>
    <w:p w:rsidR="00036C7B" w:rsidRPr="005C04BF" w:rsidRDefault="00036C7B" w:rsidP="00036C7B">
      <w:pPr>
        <w:pStyle w:val="ListParagraph"/>
        <w:numPr>
          <w:ilvl w:val="0"/>
          <w:numId w:val="9"/>
        </w:numPr>
        <w:ind w:hanging="720"/>
        <w:rPr>
          <w:rFonts w:cs="Times New Roman"/>
          <w:b/>
          <w:sz w:val="24"/>
          <w:szCs w:val="24"/>
        </w:rPr>
      </w:pPr>
      <w:r w:rsidRPr="005C04BF">
        <w:rPr>
          <w:rFonts w:cs="Times New Roman"/>
          <w:b/>
          <w:sz w:val="24"/>
          <w:szCs w:val="24"/>
        </w:rPr>
        <w:t>Curtis v Brunsting 710 F.3d 406</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u w:val="single"/>
        </w:rPr>
        <w:t>January 9, 2013</w:t>
      </w:r>
      <w:r w:rsidRPr="005C04BF">
        <w:rPr>
          <w:rFonts w:cs="Times New Roman"/>
          <w:sz w:val="24"/>
          <w:szCs w:val="24"/>
        </w:rPr>
        <w:t xml:space="preserve"> the Fifth Circuit Court of Appeals issued unanimous opinion in 12–20164 ordering reversal and remand of the sua sponte dismissal in Cause No. 4:12-CV-00592. </w:t>
      </w:r>
    </w:p>
    <w:p w:rsidR="00036C7B" w:rsidRPr="005C04BF" w:rsidRDefault="00036C7B" w:rsidP="00036C7B">
      <w:pPr>
        <w:pStyle w:val="ListParagraph"/>
        <w:numPr>
          <w:ilvl w:val="0"/>
          <w:numId w:val="9"/>
        </w:numPr>
        <w:ind w:hanging="720"/>
        <w:rPr>
          <w:rFonts w:cs="Times New Roman"/>
          <w:b/>
          <w:sz w:val="24"/>
          <w:szCs w:val="24"/>
        </w:rPr>
      </w:pPr>
      <w:r w:rsidRPr="005C04BF">
        <w:rPr>
          <w:rFonts w:cs="Times New Roman"/>
          <w:b/>
          <w:sz w:val="24"/>
          <w:szCs w:val="24"/>
        </w:rPr>
        <w:t xml:space="preserve">Carl Brunsting and the Estate of Nelva Brunsting </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u w:val="single"/>
        </w:rPr>
        <w:t>January 29, 2013</w:t>
      </w:r>
      <w:r w:rsidRPr="005C04BF">
        <w:rPr>
          <w:rFonts w:cs="Times New Roman"/>
          <w:sz w:val="24"/>
          <w:szCs w:val="24"/>
        </w:rPr>
        <w:t xml:space="preserve"> Bayless filed Carl Henry Brunsting Individually and as Executor for the Estate of Nelva Brunsting v. Candace Freed &amp; Vacek &amp; Freed; 164TH Judicial </w:t>
      </w:r>
      <w:r w:rsidRPr="005C04BF">
        <w:rPr>
          <w:rFonts w:cs="Times New Roman"/>
          <w:sz w:val="24"/>
          <w:szCs w:val="24"/>
          <w:u w:val="single"/>
        </w:rPr>
        <w:t>District Court</w:t>
      </w:r>
      <w:r w:rsidRPr="005C04BF">
        <w:rPr>
          <w:rFonts w:cs="Times New Roman"/>
          <w:sz w:val="24"/>
          <w:szCs w:val="24"/>
        </w:rPr>
        <w:t xml:space="preserve"> of Harris County, TX.</w:t>
      </w:r>
    </w:p>
    <w:p w:rsidR="00036C7B" w:rsidRPr="005C04BF" w:rsidRDefault="00036C7B" w:rsidP="00036C7B">
      <w:pPr>
        <w:pStyle w:val="ListParagraph"/>
        <w:ind w:hanging="720"/>
        <w:rPr>
          <w:rFonts w:cs="Times New Roman"/>
          <w:sz w:val="24"/>
          <w:szCs w:val="24"/>
        </w:rPr>
      </w:pPr>
      <w:r w:rsidRPr="005C04BF">
        <w:rPr>
          <w:rFonts w:cs="Times New Roman"/>
          <w:sz w:val="24"/>
          <w:szCs w:val="24"/>
        </w:rPr>
        <w:t>---</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u w:val="single"/>
        </w:rPr>
        <w:t>April 9, 2013</w:t>
      </w:r>
      <w:r w:rsidRPr="005C04BF">
        <w:rPr>
          <w:rFonts w:cs="Times New Roman"/>
          <w:sz w:val="24"/>
          <w:szCs w:val="24"/>
        </w:rPr>
        <w:t>, Candace Louise Curtis v. Anita Kay Brunsting and Amy Ruth Brunsting No. 4:12-CV-00592; The Honorable Judge Kenneth Hoyt issued an injunction.</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u w:val="single"/>
        </w:rPr>
        <w:t>April 9, 2013</w:t>
      </w:r>
      <w:r w:rsidRPr="005C04BF">
        <w:rPr>
          <w:rFonts w:cs="Times New Roman"/>
          <w:sz w:val="24"/>
          <w:szCs w:val="24"/>
        </w:rPr>
        <w:t>, Bayless filed Harris County Probate Case No. 412249-401 Carl Henry Brunsting individually and as Executor for the Estate of Nelva Brunsting v. Anita Kay Brunsting, Amy Ruth Brunsting and Carole Anne Brunsting and naming Plaintiff Curtis a “Nominal Defendant”.</w:t>
      </w:r>
    </w:p>
    <w:p w:rsidR="00036C7B" w:rsidRPr="005C04BF" w:rsidRDefault="00036C7B" w:rsidP="00036C7B">
      <w:pPr>
        <w:pStyle w:val="ListParagraph"/>
        <w:ind w:hanging="720"/>
        <w:rPr>
          <w:rFonts w:cs="Times New Roman"/>
          <w:sz w:val="24"/>
          <w:szCs w:val="24"/>
        </w:rPr>
      </w:pP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rPr>
        <w:t>July 13, 2015</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rPr>
        <w:t>July 15, 2015</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rPr>
        <w:t>July 22, 2015</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rPr>
        <w:t>August 3, 2015…</w:t>
      </w:r>
    </w:p>
    <w:p w:rsidR="00036C7B" w:rsidRPr="005C04BF" w:rsidRDefault="00036C7B" w:rsidP="00036C7B">
      <w:pPr>
        <w:pStyle w:val="ListParagraph"/>
        <w:rPr>
          <w:rFonts w:cs="Times New Roman"/>
          <w:sz w:val="24"/>
          <w:szCs w:val="24"/>
        </w:rPr>
      </w:pPr>
      <w:r w:rsidRPr="005C04BF">
        <w:rPr>
          <w:rFonts w:cs="Times New Roman"/>
          <w:sz w:val="24"/>
          <w:szCs w:val="24"/>
        </w:rPr>
        <w:t xml:space="preserve">--- </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rPr>
        <w:t>As can be seen from the civil outline, Bobbie Bayless acted behind plaintiff Curtis pretty much mimicking her activity and waiting for an opportunity to seize control of the litigation.</w:t>
      </w:r>
    </w:p>
    <w:p w:rsidR="00036C7B" w:rsidRPr="005C04BF" w:rsidRDefault="00036C7B" w:rsidP="00036C7B">
      <w:pPr>
        <w:pStyle w:val="ListParagraph"/>
        <w:numPr>
          <w:ilvl w:val="0"/>
          <w:numId w:val="9"/>
        </w:numPr>
        <w:ind w:hanging="720"/>
        <w:rPr>
          <w:rFonts w:cs="Times New Roman"/>
          <w:sz w:val="24"/>
          <w:szCs w:val="24"/>
        </w:rPr>
      </w:pPr>
      <w:r w:rsidRPr="005C04BF">
        <w:rPr>
          <w:rFonts w:cs="Times New Roman"/>
          <w:sz w:val="24"/>
          <w:szCs w:val="24"/>
        </w:rPr>
        <w:t xml:space="preserve">At this point there was a little incident covered in the rule 60 motion whereby plaintiff Curtis was not able to be assisted and that’s where Jason Ostram enters the picture. </w:t>
      </w:r>
    </w:p>
    <w:p w:rsidR="00036C7B" w:rsidRPr="005C04BF" w:rsidRDefault="00036C7B" w:rsidP="00036C7B">
      <w:pPr>
        <w:spacing w:before="120" w:after="240" w:line="480" w:lineRule="auto"/>
        <w:ind w:left="360"/>
        <w:contextualSpacing/>
        <w:jc w:val="both"/>
        <w:rPr>
          <w:rFonts w:cs="Times New Roman"/>
          <w:sz w:val="24"/>
          <w:szCs w:val="24"/>
        </w:rPr>
      </w:pPr>
    </w:p>
    <w:p w:rsidR="00D61CAC" w:rsidRPr="005C04BF" w:rsidRDefault="00D61CAC" w:rsidP="00A352DD">
      <w:pPr>
        <w:rPr>
          <w:rFonts w:cs="Times New Roman"/>
          <w:sz w:val="24"/>
          <w:szCs w:val="24"/>
        </w:rPr>
      </w:pPr>
    </w:p>
    <w:p w:rsidR="00A67B90" w:rsidRPr="005C04BF" w:rsidRDefault="00A67B90" w:rsidP="0020235A">
      <w:pPr>
        <w:pStyle w:val="Heading1"/>
        <w:rPr>
          <w:rFonts w:cs="Times New Roman"/>
          <w:sz w:val="24"/>
          <w:szCs w:val="24"/>
        </w:rPr>
      </w:pPr>
      <w:r w:rsidRPr="005C04BF">
        <w:rPr>
          <w:rFonts w:cs="Times New Roman"/>
          <w:sz w:val="24"/>
          <w:szCs w:val="24"/>
        </w:rPr>
        <w:t>Attorney Jason Ostrom</w:t>
      </w:r>
    </w:p>
    <w:p w:rsidR="00F22EC3" w:rsidRPr="005C04BF" w:rsidRDefault="00F22EC3" w:rsidP="008B2169">
      <w:pPr>
        <w:pStyle w:val="NumPara"/>
        <w:rPr>
          <w:rFonts w:cs="Times New Roman"/>
          <w:sz w:val="24"/>
          <w:szCs w:val="24"/>
        </w:rPr>
      </w:pPr>
      <w:r w:rsidRPr="005C04BF">
        <w:rPr>
          <w:rFonts w:cs="Times New Roman"/>
          <w:sz w:val="24"/>
          <w:szCs w:val="24"/>
        </w:rPr>
        <w:t xml:space="preserve">Attorney Jason Ostrom betrayed the fiduciary duty of loyalty he owed to his client, Candace Curtis, by polluting diversity in order to secure a remand to </w:t>
      </w:r>
      <w:r w:rsidR="000616B7" w:rsidRPr="005C04BF">
        <w:rPr>
          <w:rFonts w:cs="Times New Roman"/>
          <w:sz w:val="24"/>
          <w:szCs w:val="24"/>
        </w:rPr>
        <w:t>a</w:t>
      </w:r>
      <w:r w:rsidRPr="005C04BF">
        <w:rPr>
          <w:rFonts w:cs="Times New Roman"/>
          <w:sz w:val="24"/>
          <w:szCs w:val="24"/>
        </w:rPr>
        <w:t xml:space="preserve"> probate court. Once in probate Ostrom actively engaged in converting </w:t>
      </w:r>
      <w:r w:rsidRPr="005C04BF">
        <w:rPr>
          <w:rFonts w:cs="Times New Roman"/>
          <w:sz w:val="24"/>
          <w:szCs w:val="24"/>
          <w:u w:val="single"/>
        </w:rPr>
        <w:t>Curtis v Brunsting</w:t>
      </w:r>
      <w:r w:rsidRPr="005C04BF">
        <w:rPr>
          <w:rFonts w:cs="Times New Roman"/>
          <w:sz w:val="24"/>
          <w:szCs w:val="24"/>
        </w:rPr>
        <w:t xml:space="preserve"> into </w:t>
      </w:r>
      <w:r w:rsidRPr="005C04BF">
        <w:rPr>
          <w:rFonts w:cs="Times New Roman"/>
          <w:sz w:val="24"/>
          <w:szCs w:val="24"/>
          <w:u w:val="single"/>
        </w:rPr>
        <w:t>estate of Nelva Brunsting</w:t>
      </w:r>
      <w:r w:rsidRPr="005C04BF">
        <w:rPr>
          <w:rFonts w:cs="Times New Roman"/>
          <w:sz w:val="24"/>
          <w:szCs w:val="24"/>
        </w:rPr>
        <w:t xml:space="preserve"> and eventually dissolving his client’s lawsuit into Bayless “probate matter”.</w:t>
      </w:r>
    </w:p>
    <w:p w:rsidR="0020235A" w:rsidRPr="005C04BF" w:rsidRDefault="0020235A" w:rsidP="0020235A">
      <w:pPr>
        <w:pStyle w:val="Heading2"/>
        <w:rPr>
          <w:rFonts w:cs="Times New Roman"/>
          <w:sz w:val="24"/>
          <w:szCs w:val="24"/>
        </w:rPr>
      </w:pPr>
      <w:r w:rsidRPr="005C04BF">
        <w:rPr>
          <w:rFonts w:cs="Times New Roman"/>
          <w:sz w:val="24"/>
          <w:szCs w:val="24"/>
        </w:rPr>
        <w:t>Jason Ostrom</w:t>
      </w:r>
    </w:p>
    <w:p w:rsidR="0020235A" w:rsidRPr="005C04BF" w:rsidRDefault="0020235A" w:rsidP="0020235A">
      <w:pPr>
        <w:pStyle w:val="ListParagraph"/>
        <w:numPr>
          <w:ilvl w:val="0"/>
          <w:numId w:val="11"/>
        </w:numPr>
        <w:spacing w:after="100" w:line="240" w:lineRule="auto"/>
        <w:rPr>
          <w:rFonts w:cs="Times New Roman"/>
          <w:sz w:val="24"/>
          <w:szCs w:val="24"/>
        </w:rPr>
      </w:pPr>
      <w:r w:rsidRPr="005C04BF">
        <w:rPr>
          <w:rFonts w:cs="Times New Roman"/>
          <w:sz w:val="24"/>
          <w:szCs w:val="24"/>
        </w:rPr>
        <w:t>Aiding and abetting trust busting</w:t>
      </w:r>
    </w:p>
    <w:p w:rsidR="0020235A" w:rsidRPr="005C04BF" w:rsidRDefault="0020235A" w:rsidP="0020235A">
      <w:pPr>
        <w:pStyle w:val="ListParagraph"/>
        <w:numPr>
          <w:ilvl w:val="1"/>
          <w:numId w:val="11"/>
        </w:numPr>
        <w:spacing w:after="100" w:line="240" w:lineRule="auto"/>
        <w:rPr>
          <w:rFonts w:cs="Times New Roman"/>
          <w:sz w:val="24"/>
          <w:szCs w:val="24"/>
        </w:rPr>
      </w:pPr>
      <w:r w:rsidRPr="005C04BF">
        <w:rPr>
          <w:rFonts w:cs="Times New Roman"/>
          <w:sz w:val="24"/>
          <w:szCs w:val="24"/>
        </w:rPr>
        <w:t>Removed trust suit from an honorable court to the cabal</w:t>
      </w:r>
    </w:p>
    <w:p w:rsidR="0020235A" w:rsidRPr="005C04BF" w:rsidRDefault="0020235A" w:rsidP="0020235A">
      <w:pPr>
        <w:pStyle w:val="ListParagraph"/>
        <w:numPr>
          <w:ilvl w:val="1"/>
          <w:numId w:val="11"/>
        </w:numPr>
        <w:spacing w:after="100" w:line="240" w:lineRule="auto"/>
        <w:rPr>
          <w:rFonts w:cs="Times New Roman"/>
          <w:sz w:val="24"/>
          <w:szCs w:val="24"/>
        </w:rPr>
      </w:pPr>
      <w:r w:rsidRPr="005C04BF">
        <w:rPr>
          <w:rFonts w:cs="Times New Roman"/>
          <w:sz w:val="24"/>
          <w:szCs w:val="24"/>
        </w:rPr>
        <w:t>Plead a very lucid Nelva Brunsting lacked competence</w:t>
      </w:r>
    </w:p>
    <w:p w:rsidR="0020235A" w:rsidRPr="005C04BF" w:rsidRDefault="0020235A" w:rsidP="0020235A">
      <w:pPr>
        <w:pStyle w:val="ListParagraph"/>
        <w:numPr>
          <w:ilvl w:val="1"/>
          <w:numId w:val="11"/>
        </w:numPr>
        <w:spacing w:after="100" w:line="240" w:lineRule="auto"/>
        <w:rPr>
          <w:rFonts w:cs="Times New Roman"/>
          <w:sz w:val="24"/>
          <w:szCs w:val="24"/>
        </w:rPr>
      </w:pPr>
      <w:r w:rsidRPr="005C04BF">
        <w:rPr>
          <w:rFonts w:cs="Times New Roman"/>
          <w:sz w:val="24"/>
          <w:szCs w:val="24"/>
        </w:rPr>
        <w:t xml:space="preserve">Plead a very competent and self-sufficient Candace Curtis as if she were a special needs dependent who had always been dependent upon her parents for support. </w:t>
      </w:r>
    </w:p>
    <w:p w:rsidR="0020235A" w:rsidRPr="005C04BF" w:rsidRDefault="0020235A" w:rsidP="0020235A">
      <w:pPr>
        <w:pStyle w:val="ListParagraph"/>
        <w:numPr>
          <w:ilvl w:val="1"/>
          <w:numId w:val="11"/>
        </w:numPr>
        <w:spacing w:after="100" w:line="240" w:lineRule="auto"/>
        <w:rPr>
          <w:rFonts w:cs="Times New Roman"/>
          <w:sz w:val="24"/>
          <w:szCs w:val="24"/>
        </w:rPr>
      </w:pPr>
      <w:r w:rsidRPr="005C04BF">
        <w:rPr>
          <w:rFonts w:cs="Times New Roman"/>
          <w:sz w:val="24"/>
          <w:szCs w:val="24"/>
        </w:rPr>
        <w:t>Acted in secret to amend complaint, to consolidate with Bayless and to file alleged Second Amended Complaint as “Estate of Nelva Brunsting” in attempt to eliminate the distinction between the trust and the estate.</w:t>
      </w:r>
    </w:p>
    <w:p w:rsidR="0020235A" w:rsidRPr="005C04BF" w:rsidRDefault="0020235A" w:rsidP="0020235A">
      <w:pPr>
        <w:pStyle w:val="ListParagraph"/>
        <w:numPr>
          <w:ilvl w:val="0"/>
          <w:numId w:val="11"/>
        </w:numPr>
        <w:spacing w:after="100" w:line="240" w:lineRule="auto"/>
        <w:rPr>
          <w:rFonts w:cs="Times New Roman"/>
          <w:sz w:val="24"/>
          <w:szCs w:val="24"/>
        </w:rPr>
      </w:pPr>
      <w:r w:rsidRPr="005C04BF">
        <w:rPr>
          <w:rFonts w:cs="Times New Roman"/>
          <w:sz w:val="24"/>
          <w:szCs w:val="24"/>
        </w:rPr>
        <w:t>Ostrom’s first official act was to amend plaintiff Curtis complaint to add Carl Brunsting as an involuntary plaintiff and polluting diversity jurisdiction to facilitate a remand to Harris County Probate Court.</w:t>
      </w:r>
    </w:p>
    <w:p w:rsidR="0020235A" w:rsidRPr="005C04BF" w:rsidRDefault="0020235A" w:rsidP="0020235A">
      <w:pPr>
        <w:pStyle w:val="ListParagraph"/>
        <w:numPr>
          <w:ilvl w:val="0"/>
          <w:numId w:val="11"/>
        </w:numPr>
        <w:spacing w:after="100" w:line="240" w:lineRule="auto"/>
        <w:rPr>
          <w:rFonts w:cs="Times New Roman"/>
          <w:sz w:val="24"/>
          <w:szCs w:val="24"/>
        </w:rPr>
      </w:pPr>
      <w:r w:rsidRPr="005C04BF">
        <w:rPr>
          <w:rFonts w:cs="Times New Roman"/>
          <w:sz w:val="24"/>
          <w:szCs w:val="24"/>
        </w:rPr>
        <w:t>Once in the Harris County Probate Court Ostram consolidated the cases, in secret, on a verbal motion made at a previous hearing, without notice to and in direct opposition to orders from Curtis and then filed an alleged 2</w:t>
      </w:r>
      <w:r w:rsidRPr="005C04BF">
        <w:rPr>
          <w:rFonts w:cs="Times New Roman"/>
          <w:sz w:val="24"/>
          <w:szCs w:val="24"/>
          <w:vertAlign w:val="superscript"/>
        </w:rPr>
        <w:t>nd</w:t>
      </w:r>
      <w:r w:rsidRPr="005C04BF">
        <w:rPr>
          <w:rFonts w:cs="Times New Roman"/>
          <w:sz w:val="24"/>
          <w:szCs w:val="24"/>
        </w:rPr>
        <w:t xml:space="preserve"> amended complaint using the heading of the Estate of Nelva Brunsting. Curtis v Brunsting is NOT the estate of Nelva Brunsting and cannot be converted into a “Probate Matter” </w:t>
      </w:r>
    </w:p>
    <w:p w:rsidR="0020235A" w:rsidRPr="005C04BF" w:rsidRDefault="0020235A" w:rsidP="0020235A">
      <w:pPr>
        <w:pStyle w:val="ListParagraph"/>
        <w:numPr>
          <w:ilvl w:val="0"/>
          <w:numId w:val="11"/>
        </w:numPr>
        <w:spacing w:after="100" w:line="240" w:lineRule="auto"/>
        <w:rPr>
          <w:rFonts w:cs="Times New Roman"/>
          <w:sz w:val="24"/>
          <w:szCs w:val="24"/>
        </w:rPr>
      </w:pPr>
      <w:r w:rsidRPr="005C04BF">
        <w:rPr>
          <w:rFonts w:cs="Times New Roman"/>
          <w:sz w:val="24"/>
          <w:szCs w:val="24"/>
        </w:rPr>
        <w:t>Ostrom represented his client to the probate court as if she was a special needs case requiring constant support from her parents which is nothing but 100% unadulterated steer manure manufactured as part of the record on doublecross.</w:t>
      </w:r>
    </w:p>
    <w:p w:rsidR="0020235A" w:rsidRPr="005C04BF" w:rsidRDefault="0020235A" w:rsidP="0020235A">
      <w:pPr>
        <w:spacing w:after="100" w:line="240" w:lineRule="auto"/>
        <w:ind w:left="360"/>
        <w:rPr>
          <w:rFonts w:cs="Times New Roman"/>
          <w:sz w:val="24"/>
          <w:szCs w:val="24"/>
        </w:rPr>
      </w:pPr>
    </w:p>
    <w:p w:rsidR="00A352DD" w:rsidRPr="005C04BF" w:rsidRDefault="00A67B90" w:rsidP="0020235A">
      <w:pPr>
        <w:pStyle w:val="Heading2"/>
        <w:rPr>
          <w:rFonts w:cs="Times New Roman"/>
          <w:sz w:val="24"/>
          <w:szCs w:val="24"/>
        </w:rPr>
      </w:pPr>
      <w:r w:rsidRPr="005C04BF">
        <w:rPr>
          <w:rFonts w:cs="Times New Roman"/>
          <w:sz w:val="24"/>
          <w:szCs w:val="24"/>
        </w:rPr>
        <w:t xml:space="preserve">Attorney </w:t>
      </w:r>
      <w:r w:rsidR="00A352DD" w:rsidRPr="005C04BF">
        <w:rPr>
          <w:rFonts w:cs="Times New Roman"/>
          <w:sz w:val="24"/>
          <w:szCs w:val="24"/>
        </w:rPr>
        <w:t xml:space="preserve">Neal Spielman </w:t>
      </w:r>
    </w:p>
    <w:p w:rsidR="00A67B90" w:rsidRPr="005C04BF" w:rsidRDefault="00B464C0" w:rsidP="00DB5605">
      <w:pPr>
        <w:pStyle w:val="ListParagraph"/>
        <w:numPr>
          <w:ilvl w:val="0"/>
          <w:numId w:val="8"/>
        </w:numPr>
        <w:spacing w:before="120" w:after="100" w:afterAutospacing="1" w:line="480" w:lineRule="auto"/>
        <w:rPr>
          <w:rFonts w:cs="Times New Roman"/>
          <w:sz w:val="24"/>
          <w:szCs w:val="24"/>
        </w:rPr>
      </w:pPr>
      <w:r w:rsidRPr="005C04BF">
        <w:rPr>
          <w:rFonts w:cs="Times New Roman"/>
          <w:sz w:val="24"/>
          <w:szCs w:val="24"/>
        </w:rPr>
        <w:t xml:space="preserve">Spielman took the lead role March 9, 2015 in efforts to intimidate Curtis into going to another pointless </w:t>
      </w:r>
      <w:r w:rsidR="00DB5605" w:rsidRPr="005C04BF">
        <w:rPr>
          <w:rFonts w:cs="Times New Roman"/>
          <w:sz w:val="24"/>
          <w:szCs w:val="24"/>
        </w:rPr>
        <w:t xml:space="preserve">mediation. Comstock was clearly a party to that game thinking that she </w:t>
      </w:r>
      <w:r w:rsidR="00DB5605" w:rsidRPr="005C04BF">
        <w:rPr>
          <w:rFonts w:cs="Times New Roman"/>
          <w:sz w:val="24"/>
          <w:szCs w:val="24"/>
        </w:rPr>
        <w:lastRenderedPageBreak/>
        <w:t>could threaten and intimidate when they all knew the probate court had no jurisdiction over the trust controversy.</w:t>
      </w:r>
    </w:p>
    <w:p w:rsidR="00DB5605" w:rsidRPr="005C04BF" w:rsidRDefault="00DB5605" w:rsidP="00DB5605">
      <w:pPr>
        <w:pStyle w:val="ListParagraph"/>
        <w:numPr>
          <w:ilvl w:val="0"/>
          <w:numId w:val="8"/>
        </w:numPr>
        <w:spacing w:before="120" w:after="100" w:afterAutospacing="1" w:line="480" w:lineRule="auto"/>
        <w:rPr>
          <w:rFonts w:cs="Times New Roman"/>
          <w:sz w:val="24"/>
          <w:szCs w:val="24"/>
        </w:rPr>
      </w:pPr>
      <w:r w:rsidRPr="005C04BF">
        <w:rPr>
          <w:rFonts w:cs="Times New Roman"/>
          <w:sz w:val="24"/>
          <w:szCs w:val="24"/>
        </w:rPr>
        <w:t xml:space="preserve">One may think that knowing the court lacks jurisdiction and that any adverse rulings will be reversed on appeal would be appropriate for a defense attorney as ultimately his client would win the contest. However, </w:t>
      </w:r>
      <w:r w:rsidR="00287D14" w:rsidRPr="005C04BF">
        <w:rPr>
          <w:rFonts w:cs="Times New Roman"/>
          <w:sz w:val="24"/>
          <w:szCs w:val="24"/>
        </w:rPr>
        <w:t xml:space="preserve">the administration of justice demands resolution of a controversy on the merits and, </w:t>
      </w:r>
      <w:r w:rsidRPr="005C04BF">
        <w:rPr>
          <w:rFonts w:cs="Times New Roman"/>
          <w:sz w:val="24"/>
          <w:szCs w:val="24"/>
        </w:rPr>
        <w:t xml:space="preserve">while </w:t>
      </w:r>
      <w:r w:rsidR="00287D14" w:rsidRPr="005C04BF">
        <w:rPr>
          <w:rFonts w:cs="Times New Roman"/>
          <w:sz w:val="24"/>
          <w:szCs w:val="24"/>
        </w:rPr>
        <w:t>the defense attorney</w:t>
      </w:r>
      <w:r w:rsidRPr="005C04BF">
        <w:rPr>
          <w:rFonts w:cs="Times New Roman"/>
          <w:sz w:val="24"/>
          <w:szCs w:val="24"/>
        </w:rPr>
        <w:t xml:space="preserve"> is gaming the system for a win and posing as a litigator, he is perpetrating a fraud on the court and squandering judicial and other court resources belonging to the people of Texas, for his own benefit. </w:t>
      </w:r>
      <w:r w:rsidR="00287D14" w:rsidRPr="005C04BF">
        <w:rPr>
          <w:rFonts w:cs="Times New Roman"/>
          <w:sz w:val="24"/>
          <w:szCs w:val="24"/>
        </w:rPr>
        <w:t>That’s conversion and in a case like Brunsting, it amounts to aiding and abetting crime.</w:t>
      </w:r>
    </w:p>
    <w:p w:rsidR="00A67B90" w:rsidRPr="005C04BF" w:rsidRDefault="00A67B90" w:rsidP="00A352DD">
      <w:pPr>
        <w:rPr>
          <w:rFonts w:cs="Times New Roman"/>
          <w:sz w:val="24"/>
          <w:szCs w:val="24"/>
        </w:rPr>
      </w:pPr>
    </w:p>
    <w:p w:rsidR="00A352DD" w:rsidRPr="005C04BF" w:rsidRDefault="00A67B90" w:rsidP="00A67B90">
      <w:pPr>
        <w:pStyle w:val="Heading2"/>
        <w:rPr>
          <w:rFonts w:cs="Times New Roman"/>
          <w:sz w:val="24"/>
          <w:szCs w:val="24"/>
        </w:rPr>
      </w:pPr>
      <w:r w:rsidRPr="005C04BF">
        <w:rPr>
          <w:rFonts w:cs="Times New Roman"/>
          <w:sz w:val="24"/>
          <w:szCs w:val="24"/>
        </w:rPr>
        <w:t xml:space="preserve">Attorney </w:t>
      </w:r>
      <w:r w:rsidR="00A352DD" w:rsidRPr="005C04BF">
        <w:rPr>
          <w:rFonts w:cs="Times New Roman"/>
          <w:sz w:val="24"/>
          <w:szCs w:val="24"/>
        </w:rPr>
        <w:t xml:space="preserve">Bradley Featherston </w:t>
      </w:r>
    </w:p>
    <w:p w:rsidR="00A67B90" w:rsidRPr="005C04BF" w:rsidRDefault="00A67B90" w:rsidP="00A352DD">
      <w:pPr>
        <w:rPr>
          <w:rFonts w:cs="Times New Roman"/>
          <w:sz w:val="24"/>
          <w:szCs w:val="24"/>
        </w:rPr>
      </w:pPr>
    </w:p>
    <w:p w:rsidR="00A67B90" w:rsidRPr="005C04BF" w:rsidRDefault="00A67B90" w:rsidP="00A352DD">
      <w:pPr>
        <w:rPr>
          <w:rFonts w:cs="Times New Roman"/>
          <w:sz w:val="24"/>
          <w:szCs w:val="24"/>
        </w:rPr>
      </w:pPr>
    </w:p>
    <w:p w:rsidR="00A352DD" w:rsidRPr="005C04BF" w:rsidRDefault="00A67B90" w:rsidP="00A67B90">
      <w:pPr>
        <w:pStyle w:val="Heading2"/>
        <w:rPr>
          <w:rFonts w:cs="Times New Roman"/>
          <w:sz w:val="24"/>
          <w:szCs w:val="24"/>
        </w:rPr>
      </w:pPr>
      <w:r w:rsidRPr="005C04BF">
        <w:rPr>
          <w:rFonts w:cs="Times New Roman"/>
          <w:sz w:val="24"/>
          <w:szCs w:val="24"/>
        </w:rPr>
        <w:t xml:space="preserve">Attorney </w:t>
      </w:r>
      <w:r w:rsidR="00A352DD" w:rsidRPr="005C04BF">
        <w:rPr>
          <w:rFonts w:cs="Times New Roman"/>
          <w:sz w:val="24"/>
          <w:szCs w:val="24"/>
        </w:rPr>
        <w:t xml:space="preserve">Stephen A. Mendel </w:t>
      </w:r>
    </w:p>
    <w:p w:rsidR="00A67B90" w:rsidRPr="005C04BF" w:rsidRDefault="00A67B90" w:rsidP="00A352DD">
      <w:pPr>
        <w:rPr>
          <w:rFonts w:cs="Times New Roman"/>
          <w:sz w:val="24"/>
          <w:szCs w:val="24"/>
        </w:rPr>
      </w:pPr>
    </w:p>
    <w:p w:rsidR="00A67B90" w:rsidRPr="005C04BF" w:rsidRDefault="00A67B90" w:rsidP="00A352DD">
      <w:pPr>
        <w:rPr>
          <w:rFonts w:cs="Times New Roman"/>
          <w:sz w:val="24"/>
          <w:szCs w:val="24"/>
        </w:rPr>
      </w:pPr>
    </w:p>
    <w:p w:rsidR="00A352DD" w:rsidRPr="005C04BF" w:rsidRDefault="00A67B90" w:rsidP="00A67B90">
      <w:pPr>
        <w:pStyle w:val="Heading2"/>
        <w:rPr>
          <w:rFonts w:cs="Times New Roman"/>
          <w:sz w:val="24"/>
          <w:szCs w:val="24"/>
        </w:rPr>
      </w:pPr>
      <w:r w:rsidRPr="005C04BF">
        <w:rPr>
          <w:rFonts w:cs="Times New Roman"/>
          <w:sz w:val="24"/>
          <w:szCs w:val="24"/>
        </w:rPr>
        <w:t>Attorney Darlene Payne Smith</w:t>
      </w:r>
    </w:p>
    <w:p w:rsidR="00A67B90" w:rsidRPr="005C04BF" w:rsidRDefault="00A67B90" w:rsidP="00A352DD">
      <w:pPr>
        <w:rPr>
          <w:rFonts w:cs="Times New Roman"/>
          <w:sz w:val="24"/>
          <w:szCs w:val="24"/>
        </w:rPr>
      </w:pPr>
    </w:p>
    <w:p w:rsidR="00A352DD" w:rsidRPr="005C04BF" w:rsidRDefault="00A67B90" w:rsidP="00A67B90">
      <w:pPr>
        <w:pStyle w:val="Heading2"/>
        <w:rPr>
          <w:rFonts w:cs="Times New Roman"/>
          <w:sz w:val="24"/>
          <w:szCs w:val="24"/>
        </w:rPr>
      </w:pPr>
      <w:r w:rsidRPr="005C04BF">
        <w:rPr>
          <w:rFonts w:cs="Times New Roman"/>
          <w:sz w:val="24"/>
          <w:szCs w:val="24"/>
        </w:rPr>
        <w:t xml:space="preserve">Attorney </w:t>
      </w:r>
      <w:r w:rsidR="00A352DD" w:rsidRPr="005C04BF">
        <w:rPr>
          <w:rFonts w:cs="Times New Roman"/>
          <w:sz w:val="24"/>
          <w:szCs w:val="24"/>
        </w:rPr>
        <w:t>Gregory Lester</w:t>
      </w:r>
    </w:p>
    <w:p w:rsidR="00A67B90" w:rsidRPr="005C04BF" w:rsidRDefault="00A67B90" w:rsidP="00A352DD">
      <w:pPr>
        <w:rPr>
          <w:rFonts w:cs="Times New Roman"/>
          <w:sz w:val="24"/>
          <w:szCs w:val="24"/>
        </w:rPr>
      </w:pPr>
    </w:p>
    <w:p w:rsidR="00A67B90" w:rsidRPr="005C04BF" w:rsidRDefault="00A67B90" w:rsidP="00A67B90">
      <w:pPr>
        <w:pStyle w:val="Heading2"/>
        <w:rPr>
          <w:rFonts w:cs="Times New Roman"/>
          <w:sz w:val="24"/>
          <w:szCs w:val="24"/>
        </w:rPr>
      </w:pPr>
      <w:r w:rsidRPr="005C04BF">
        <w:rPr>
          <w:rFonts w:cs="Times New Roman"/>
          <w:sz w:val="24"/>
          <w:szCs w:val="24"/>
        </w:rPr>
        <w:t>Attorney Jill Young</w:t>
      </w:r>
    </w:p>
    <w:p w:rsidR="00A67B90" w:rsidRPr="005C04BF" w:rsidRDefault="00A67B90" w:rsidP="00A352DD">
      <w:pPr>
        <w:rPr>
          <w:rFonts w:cs="Times New Roman"/>
          <w:sz w:val="24"/>
          <w:szCs w:val="24"/>
        </w:rPr>
      </w:pPr>
    </w:p>
    <w:p w:rsidR="00A352DD" w:rsidRPr="005C04BF" w:rsidRDefault="00A352DD" w:rsidP="00A67B90">
      <w:pPr>
        <w:pStyle w:val="Heading2"/>
        <w:rPr>
          <w:rFonts w:cs="Times New Roman"/>
          <w:sz w:val="24"/>
          <w:szCs w:val="24"/>
        </w:rPr>
      </w:pPr>
      <w:r w:rsidRPr="005C04BF">
        <w:rPr>
          <w:rFonts w:cs="Times New Roman"/>
          <w:sz w:val="24"/>
          <w:szCs w:val="24"/>
        </w:rPr>
        <w:t>Jill Willard Young</w:t>
      </w:r>
    </w:p>
    <w:p w:rsidR="00A67B90" w:rsidRPr="005C04BF" w:rsidRDefault="00A67B90" w:rsidP="00A352DD">
      <w:pPr>
        <w:rPr>
          <w:rFonts w:cs="Times New Roman"/>
          <w:sz w:val="24"/>
          <w:szCs w:val="24"/>
        </w:rPr>
      </w:pPr>
    </w:p>
    <w:p w:rsidR="00A352DD" w:rsidRPr="005C04BF" w:rsidRDefault="00A67B90" w:rsidP="00A67B90">
      <w:pPr>
        <w:pStyle w:val="Heading2"/>
        <w:rPr>
          <w:rFonts w:cs="Times New Roman"/>
          <w:sz w:val="24"/>
          <w:szCs w:val="24"/>
        </w:rPr>
      </w:pPr>
      <w:r w:rsidRPr="005C04BF">
        <w:rPr>
          <w:rFonts w:cs="Times New Roman"/>
          <w:sz w:val="24"/>
          <w:szCs w:val="24"/>
        </w:rPr>
        <w:t xml:space="preserve">Probate Judge </w:t>
      </w:r>
      <w:r w:rsidR="00A352DD" w:rsidRPr="005C04BF">
        <w:rPr>
          <w:rFonts w:cs="Times New Roman"/>
          <w:sz w:val="24"/>
          <w:szCs w:val="24"/>
        </w:rPr>
        <w:t>Christine Riddle Butts</w:t>
      </w:r>
    </w:p>
    <w:p w:rsidR="0037555A" w:rsidRPr="005C04BF" w:rsidRDefault="0037555A" w:rsidP="0037555A">
      <w:pPr>
        <w:autoSpaceDE w:val="0"/>
        <w:autoSpaceDN w:val="0"/>
        <w:adjustRightInd w:val="0"/>
        <w:spacing w:before="120" w:after="120" w:line="360" w:lineRule="auto"/>
        <w:contextualSpacing/>
        <w:rPr>
          <w:rFonts w:eastAsia="Times New Roman" w:cs="Times New Roman"/>
          <w:color w:val="000000"/>
          <w:sz w:val="24"/>
          <w:szCs w:val="24"/>
        </w:rPr>
      </w:pPr>
      <w:r w:rsidRPr="005C04BF">
        <w:rPr>
          <w:rFonts w:eastAsia="Times New Roman" w:cs="Times New Roman"/>
          <w:color w:val="000000"/>
          <w:sz w:val="24"/>
          <w:szCs w:val="24"/>
        </w:rPr>
        <w:lastRenderedPageBreak/>
        <w:t xml:space="preserve">What did Butts do as her part in the racketeering conspiracy? She refused to exercise the powers of the office on behalf of the public trust, she deprived the plaintiff’s the right to be heard. She allowed the attorneys to hold the Brunsting trust hostage for their fee ransoms as if the trust and the Estate of Nelva Brunsting were indistinguishable. </w:t>
      </w:r>
    </w:p>
    <w:p w:rsidR="00A67B90" w:rsidRPr="005C04BF" w:rsidRDefault="00A67B90" w:rsidP="00A352DD">
      <w:pPr>
        <w:rPr>
          <w:rFonts w:cs="Times New Roman"/>
          <w:sz w:val="24"/>
          <w:szCs w:val="24"/>
        </w:rPr>
      </w:pPr>
    </w:p>
    <w:p w:rsidR="00A352DD" w:rsidRPr="005C04BF" w:rsidRDefault="006D1542" w:rsidP="00A67B90">
      <w:pPr>
        <w:pStyle w:val="Heading2"/>
        <w:rPr>
          <w:rFonts w:cs="Times New Roman"/>
          <w:sz w:val="24"/>
          <w:szCs w:val="24"/>
        </w:rPr>
      </w:pPr>
      <w:r w:rsidRPr="005C04BF">
        <w:rPr>
          <w:rFonts w:cs="Times New Roman"/>
          <w:sz w:val="24"/>
          <w:szCs w:val="24"/>
        </w:rPr>
        <w:t xml:space="preserve">Harris County Employee </w:t>
      </w:r>
      <w:r w:rsidR="00A352DD" w:rsidRPr="005C04BF">
        <w:rPr>
          <w:rFonts w:cs="Times New Roman"/>
          <w:sz w:val="24"/>
          <w:szCs w:val="24"/>
        </w:rPr>
        <w:t>Clarinda Comstock</w:t>
      </w:r>
      <w:r w:rsidRPr="005C04BF">
        <w:rPr>
          <w:rFonts w:cs="Times New Roman"/>
          <w:sz w:val="24"/>
          <w:szCs w:val="24"/>
        </w:rPr>
        <w:t>, Associate Judge Probate Court FOUR (4)</w:t>
      </w:r>
    </w:p>
    <w:p w:rsidR="0037555A" w:rsidRPr="005C04BF" w:rsidRDefault="0037555A" w:rsidP="006D1542">
      <w:pPr>
        <w:rPr>
          <w:rFonts w:cs="Times New Roman"/>
          <w:sz w:val="24"/>
          <w:szCs w:val="24"/>
        </w:rPr>
      </w:pPr>
      <w:r w:rsidRPr="005C04BF">
        <w:rPr>
          <w:rFonts w:cs="Times New Roman"/>
          <w:sz w:val="24"/>
          <w:szCs w:val="24"/>
        </w:rPr>
        <w:t xml:space="preserve">Clarinda Comstock seemed to be running the show as we didn’t see Christine Butts after the Gregory Lester fiasco.  </w:t>
      </w:r>
    </w:p>
    <w:p w:rsidR="006D1542" w:rsidRPr="005C04BF" w:rsidRDefault="006D1542" w:rsidP="006D1542">
      <w:pPr>
        <w:rPr>
          <w:rFonts w:cs="Times New Roman"/>
          <w:sz w:val="24"/>
          <w:szCs w:val="24"/>
        </w:rPr>
      </w:pPr>
      <w:r w:rsidRPr="005C04BF">
        <w:rPr>
          <w:rFonts w:cs="Times New Roman"/>
          <w:sz w:val="24"/>
          <w:szCs w:val="24"/>
        </w:rPr>
        <w:t>Clarinda Comstock demonstrated her collusion on March 9, 2016 when she interrupted Plaintiff Candace Curtis who had traveled all the way from California in order to hear from local attorney Neal Spielman. Comstock later said that the court appointed temporary administrator, Gregory Lester, was there in case anyone had questions for him.</w:t>
      </w:r>
    </w:p>
    <w:p w:rsidR="00A67B90" w:rsidRPr="005C04BF" w:rsidRDefault="006D1542" w:rsidP="006D1542">
      <w:pPr>
        <w:rPr>
          <w:rFonts w:cs="Times New Roman"/>
          <w:sz w:val="24"/>
          <w:szCs w:val="24"/>
        </w:rPr>
      </w:pPr>
      <w:r w:rsidRPr="005C04BF">
        <w:rPr>
          <w:rFonts w:cs="Times New Roman"/>
          <w:sz w:val="24"/>
          <w:szCs w:val="24"/>
        </w:rPr>
        <w:tab/>
        <w:t xml:space="preserve">Comstock had stated that the reason for interrupting Ms. Curtis was that her time was short and she wanted to hear from Mr. Spielman which would also indicate that Mr. Lester was not there in case someone had questions. Certainly no one had mentioned that Mr. Lester would be there in case someone had questions. And clearly, Mr. Spielman’s schpeel had been arranged ex parte as there is no particular reason why Comstock would want to hear from Spielman in particular but to really get the feel for this whole little sham, ambush hearing, one needs to read the March 9, 2016 transcript. </w:t>
      </w:r>
    </w:p>
    <w:p w:rsidR="00A352DD" w:rsidRPr="005C04BF" w:rsidRDefault="00A67B90" w:rsidP="00A67B90">
      <w:pPr>
        <w:pStyle w:val="Heading2"/>
        <w:rPr>
          <w:rFonts w:cs="Times New Roman"/>
          <w:sz w:val="24"/>
          <w:szCs w:val="24"/>
        </w:rPr>
      </w:pPr>
      <w:r w:rsidRPr="005C04BF">
        <w:rPr>
          <w:rFonts w:cs="Times New Roman"/>
          <w:sz w:val="24"/>
          <w:szCs w:val="24"/>
        </w:rPr>
        <w:t xml:space="preserve">Court Reporter </w:t>
      </w:r>
      <w:r w:rsidR="00A352DD" w:rsidRPr="005C04BF">
        <w:rPr>
          <w:rFonts w:cs="Times New Roman"/>
          <w:sz w:val="24"/>
          <w:szCs w:val="24"/>
        </w:rPr>
        <w:t>Toni Biamonte</w:t>
      </w:r>
    </w:p>
    <w:p w:rsidR="00A352DD" w:rsidRPr="005C04BF" w:rsidRDefault="00A352DD" w:rsidP="00A352DD">
      <w:pPr>
        <w:rPr>
          <w:rFonts w:cs="Times New Roman"/>
          <w:sz w:val="24"/>
          <w:szCs w:val="24"/>
        </w:rPr>
      </w:pPr>
    </w:p>
    <w:p w:rsidR="0020235A" w:rsidRPr="005C04BF" w:rsidRDefault="0020235A" w:rsidP="0020235A">
      <w:pPr>
        <w:pStyle w:val="Heading1"/>
        <w:rPr>
          <w:rFonts w:cs="Times New Roman"/>
          <w:sz w:val="24"/>
          <w:szCs w:val="24"/>
        </w:rPr>
      </w:pPr>
      <w:r w:rsidRPr="005C04BF">
        <w:rPr>
          <w:rFonts w:cs="Times New Roman"/>
          <w:sz w:val="24"/>
          <w:szCs w:val="24"/>
        </w:rPr>
        <w:t>Plausible Deniability</w:t>
      </w:r>
    </w:p>
    <w:p w:rsidR="0020235A" w:rsidRPr="005C04BF" w:rsidRDefault="0020235A" w:rsidP="0020235A">
      <w:pPr>
        <w:pStyle w:val="NumPara"/>
        <w:numPr>
          <w:ilvl w:val="0"/>
          <w:numId w:val="12"/>
        </w:numPr>
        <w:rPr>
          <w:rFonts w:cs="Times New Roman"/>
          <w:sz w:val="24"/>
          <w:szCs w:val="24"/>
        </w:rPr>
      </w:pPr>
      <w:r w:rsidRPr="005C04BF">
        <w:rPr>
          <w:rFonts w:cs="Times New Roman"/>
          <w:sz w:val="24"/>
          <w:szCs w:val="24"/>
        </w:rPr>
        <w:t xml:space="preserve">Everyone who signed the conversion agreement is a participant. The plausible exception for the Judges is that, due to the case load, they rely on the officers of the Court. So, while it looks like Ostrom and Bayless played funny and duped the Court, plausible deniability vanished with the RICO and we will see what Judge Butts does now that a plea in abatement </w:t>
      </w:r>
      <w:r w:rsidR="00EC671B" w:rsidRPr="005C04BF">
        <w:rPr>
          <w:rFonts w:cs="Times New Roman"/>
          <w:sz w:val="24"/>
          <w:szCs w:val="24"/>
        </w:rPr>
        <w:t xml:space="preserve">and Plea to the Jurisdiction </w:t>
      </w:r>
      <w:r w:rsidRPr="005C04BF">
        <w:rPr>
          <w:rFonts w:cs="Times New Roman"/>
          <w:sz w:val="24"/>
          <w:szCs w:val="24"/>
        </w:rPr>
        <w:t>ha</w:t>
      </w:r>
      <w:r w:rsidR="00EC671B" w:rsidRPr="005C04BF">
        <w:rPr>
          <w:rFonts w:cs="Times New Roman"/>
          <w:sz w:val="24"/>
          <w:szCs w:val="24"/>
        </w:rPr>
        <w:t>ve</w:t>
      </w:r>
      <w:r w:rsidRPr="005C04BF">
        <w:rPr>
          <w:rFonts w:cs="Times New Roman"/>
          <w:sz w:val="24"/>
          <w:szCs w:val="24"/>
        </w:rPr>
        <w:t xml:space="preserve"> been filed. </w:t>
      </w:r>
    </w:p>
    <w:p w:rsidR="00A352DD" w:rsidRPr="005C04BF" w:rsidRDefault="00EC671B" w:rsidP="00A352DD">
      <w:pPr>
        <w:rPr>
          <w:rFonts w:cs="Times New Roman"/>
          <w:sz w:val="24"/>
          <w:szCs w:val="24"/>
        </w:rPr>
      </w:pPr>
      <w:r w:rsidRPr="005C04BF">
        <w:rPr>
          <w:rFonts w:cs="Times New Roman"/>
          <w:sz w:val="24"/>
          <w:szCs w:val="24"/>
        </w:rPr>
        <w:t xml:space="preserve">Willie Jo Mills was kidnapped under the pretext of guardianship protection and died in a facility while her third request for a due process hearing fell upon Christine Butts judicially deaf ears.  </w:t>
      </w:r>
    </w:p>
    <w:p w:rsidR="00A67B90" w:rsidRPr="005C04BF" w:rsidRDefault="00A67B90">
      <w:pPr>
        <w:rPr>
          <w:rFonts w:cs="Times New Roman"/>
          <w:sz w:val="24"/>
          <w:szCs w:val="24"/>
        </w:rPr>
      </w:pPr>
      <w:r w:rsidRPr="005C04BF">
        <w:rPr>
          <w:rFonts w:cs="Times New Roman"/>
          <w:sz w:val="24"/>
          <w:szCs w:val="24"/>
        </w:rPr>
        <w:br w:type="page"/>
      </w:r>
    </w:p>
    <w:p w:rsidR="00A352DD" w:rsidRPr="005C04BF" w:rsidRDefault="00A352DD" w:rsidP="00A352DD">
      <w:pPr>
        <w:rPr>
          <w:rFonts w:cs="Times New Roman"/>
          <w:sz w:val="24"/>
          <w:szCs w:val="24"/>
        </w:rPr>
      </w:pPr>
      <w:r w:rsidRPr="005C04BF">
        <w:rPr>
          <w:rFonts w:cs="Times New Roman"/>
          <w:sz w:val="24"/>
          <w:szCs w:val="24"/>
        </w:rPr>
        <w:lastRenderedPageBreak/>
        <w:t>Chumming for the weak link</w:t>
      </w:r>
    </w:p>
    <w:p w:rsidR="00A352DD" w:rsidRPr="005C04BF" w:rsidRDefault="00A352DD" w:rsidP="00A352DD">
      <w:pPr>
        <w:rPr>
          <w:rFonts w:cs="Times New Roman"/>
          <w:sz w:val="24"/>
          <w:szCs w:val="24"/>
        </w:rPr>
      </w:pPr>
      <w:r w:rsidRPr="005C04BF">
        <w:rPr>
          <w:rFonts w:cs="Times New Roman"/>
          <w:sz w:val="24"/>
          <w:szCs w:val="24"/>
        </w:rPr>
        <w:t>Cultivating conflicting interests</w:t>
      </w:r>
    </w:p>
    <w:p w:rsidR="00A352DD" w:rsidRPr="005C04BF" w:rsidRDefault="00A352DD" w:rsidP="00A352DD">
      <w:pPr>
        <w:rPr>
          <w:rFonts w:cs="Times New Roman"/>
          <w:sz w:val="24"/>
          <w:szCs w:val="24"/>
        </w:rPr>
      </w:pPr>
      <w:r w:rsidRPr="005C04BF">
        <w:rPr>
          <w:rFonts w:cs="Times New Roman"/>
          <w:sz w:val="24"/>
          <w:szCs w:val="24"/>
        </w:rPr>
        <w:t xml:space="preserve">Illicit instrument drafted, 3 signature pages, one notary log entry and Nelva letter saying “that’s not true” </w:t>
      </w:r>
    </w:p>
    <w:p w:rsidR="00A352DD" w:rsidRPr="005C04BF" w:rsidRDefault="00A352DD" w:rsidP="00A352DD">
      <w:pPr>
        <w:rPr>
          <w:rFonts w:cs="Times New Roman"/>
          <w:sz w:val="24"/>
          <w:szCs w:val="24"/>
        </w:rPr>
      </w:pPr>
      <w:r w:rsidRPr="005C04BF">
        <w:rPr>
          <w:rFonts w:cs="Times New Roman"/>
          <w:sz w:val="24"/>
          <w:szCs w:val="24"/>
        </w:rPr>
        <w:t>The Trust structure setup for The Article IX bait and switch</w:t>
      </w:r>
    </w:p>
    <w:p w:rsidR="00A352DD" w:rsidRPr="005C04BF" w:rsidRDefault="00A352DD" w:rsidP="00A352DD">
      <w:pPr>
        <w:rPr>
          <w:rFonts w:eastAsiaTheme="majorEastAsia" w:cs="Times New Roman"/>
          <w:b/>
          <w:sz w:val="24"/>
          <w:szCs w:val="24"/>
        </w:rPr>
      </w:pPr>
    </w:p>
    <w:p w:rsidR="0020235A" w:rsidRPr="005C04BF" w:rsidRDefault="00A352DD" w:rsidP="0020235A">
      <w:pPr>
        <w:pStyle w:val="Heading1"/>
        <w:rPr>
          <w:rFonts w:cs="Times New Roman"/>
          <w:sz w:val="24"/>
          <w:szCs w:val="24"/>
        </w:rPr>
      </w:pPr>
      <w:r w:rsidRPr="005C04BF">
        <w:rPr>
          <w:rFonts w:cs="Times New Roman"/>
          <w:sz w:val="24"/>
          <w:szCs w:val="24"/>
        </w:rPr>
        <w:t>The RICO Lawsuit</w:t>
      </w:r>
    </w:p>
    <w:p w:rsidR="00A352DD" w:rsidRPr="005C04BF" w:rsidRDefault="00A352DD" w:rsidP="00D61CAC">
      <w:pPr>
        <w:pStyle w:val="Heading2"/>
        <w:rPr>
          <w:rFonts w:cs="Times New Roman"/>
          <w:sz w:val="24"/>
          <w:szCs w:val="24"/>
        </w:rPr>
      </w:pPr>
      <w:r w:rsidRPr="005C04BF">
        <w:rPr>
          <w:rFonts w:cs="Times New Roman"/>
          <w:sz w:val="24"/>
          <w:szCs w:val="24"/>
        </w:rPr>
        <w:t>A Question of Remedy</w:t>
      </w:r>
      <w:r w:rsidR="0020235A" w:rsidRPr="005C04BF">
        <w:rPr>
          <w:rFonts w:cs="Times New Roman"/>
          <w:sz w:val="24"/>
          <w:szCs w:val="24"/>
        </w:rPr>
        <w:t xml:space="preserve">? </w:t>
      </w:r>
    </w:p>
    <w:p w:rsidR="0069082A" w:rsidRPr="005C04BF" w:rsidRDefault="0020235A" w:rsidP="00A352DD">
      <w:pPr>
        <w:jc w:val="both"/>
        <w:rPr>
          <w:rFonts w:cs="Times New Roman"/>
          <w:sz w:val="24"/>
          <w:szCs w:val="24"/>
        </w:rPr>
      </w:pPr>
      <w:r w:rsidRPr="005C04BF">
        <w:rPr>
          <w:rFonts w:cs="Times New Roman"/>
          <w:sz w:val="24"/>
          <w:szCs w:val="24"/>
        </w:rPr>
        <w:t xml:space="preserve">Is our best remedy in the racketeer influenced corrupt organization statutes? </w:t>
      </w:r>
      <w:r w:rsidR="00A352DD" w:rsidRPr="005C04BF">
        <w:rPr>
          <w:rFonts w:cs="Times New Roman"/>
          <w:sz w:val="24"/>
          <w:szCs w:val="24"/>
        </w:rPr>
        <w:t>Given that the persons responsible for this concerted effort, to hold the Brunsting trusts hostage in the probate court for attorney fee ransoms with nothing of substance being resolved, are all judges and attorneys clothed in doctrines of immunity, and given the facts of the case, it seem</w:t>
      </w:r>
      <w:r w:rsidRPr="005C04BF">
        <w:rPr>
          <w:rFonts w:cs="Times New Roman"/>
          <w:sz w:val="24"/>
          <w:szCs w:val="24"/>
        </w:rPr>
        <w:t>s</w:t>
      </w:r>
      <w:r w:rsidR="00A352DD" w:rsidRPr="005C04BF">
        <w:rPr>
          <w:rFonts w:cs="Times New Roman"/>
          <w:sz w:val="24"/>
          <w:szCs w:val="24"/>
        </w:rPr>
        <w:t xml:space="preserve"> that the RICO statutes might be the only available remedy. </w:t>
      </w:r>
      <w:r w:rsidRPr="005C04BF">
        <w:rPr>
          <w:rFonts w:cs="Times New Roman"/>
          <w:sz w:val="24"/>
          <w:szCs w:val="24"/>
        </w:rPr>
        <w:t xml:space="preserve">However, that is not the case, not even remotely. The treble damages of RICO are more trouble than they are worth. </w:t>
      </w:r>
      <w:r w:rsidR="0069082A" w:rsidRPr="005C04BF">
        <w:rPr>
          <w:rFonts w:cs="Times New Roman"/>
          <w:sz w:val="24"/>
          <w:szCs w:val="24"/>
        </w:rPr>
        <w:t xml:space="preserve">The big money is in exemplary damages and you don’t get those with RICO. </w:t>
      </w:r>
      <w:r w:rsidRPr="005C04BF">
        <w:rPr>
          <w:rFonts w:cs="Times New Roman"/>
          <w:sz w:val="24"/>
          <w:szCs w:val="24"/>
        </w:rPr>
        <w:t>So why the RICO suit?</w:t>
      </w:r>
      <w:r w:rsidR="0069082A" w:rsidRPr="005C04BF">
        <w:rPr>
          <w:rFonts w:cs="Times New Roman"/>
          <w:sz w:val="24"/>
          <w:szCs w:val="24"/>
        </w:rPr>
        <w:t xml:space="preserve"> The answer is simple, and not. </w:t>
      </w:r>
    </w:p>
    <w:p w:rsidR="0069082A" w:rsidRPr="005C04BF" w:rsidRDefault="0069082A" w:rsidP="00A352DD">
      <w:pPr>
        <w:jc w:val="both"/>
        <w:rPr>
          <w:rFonts w:cs="Times New Roman"/>
          <w:sz w:val="24"/>
          <w:szCs w:val="24"/>
        </w:rPr>
      </w:pPr>
      <w:r w:rsidRPr="005C04BF">
        <w:rPr>
          <w:rFonts w:cs="Times New Roman"/>
          <w:sz w:val="24"/>
          <w:szCs w:val="24"/>
        </w:rPr>
        <w:t xml:space="preserve">The simple answer is the </w:t>
      </w:r>
      <w:r w:rsidRPr="005C04BF">
        <w:rPr>
          <w:rFonts w:cs="Times New Roman"/>
          <w:i/>
          <w:sz w:val="24"/>
          <w:szCs w:val="24"/>
        </w:rPr>
        <w:t>elimination of plausible deniability</w:t>
      </w:r>
      <w:r w:rsidRPr="005C04BF">
        <w:rPr>
          <w:rFonts w:cs="Times New Roman"/>
          <w:sz w:val="24"/>
          <w:szCs w:val="24"/>
        </w:rPr>
        <w:t xml:space="preserve">. </w:t>
      </w:r>
    </w:p>
    <w:p w:rsidR="0069082A" w:rsidRPr="005C04BF" w:rsidRDefault="0069082A" w:rsidP="00A352DD">
      <w:pPr>
        <w:jc w:val="both"/>
        <w:rPr>
          <w:rFonts w:cs="Times New Roman"/>
          <w:sz w:val="24"/>
          <w:szCs w:val="24"/>
        </w:rPr>
      </w:pPr>
    </w:p>
    <w:p w:rsidR="00A352DD" w:rsidRPr="005C04BF" w:rsidRDefault="0069082A" w:rsidP="00A352DD">
      <w:pPr>
        <w:jc w:val="both"/>
        <w:rPr>
          <w:rFonts w:cs="Times New Roman"/>
          <w:sz w:val="24"/>
          <w:szCs w:val="24"/>
        </w:rPr>
      </w:pPr>
      <w:r w:rsidRPr="005C04BF">
        <w:rPr>
          <w:rFonts w:cs="Times New Roman"/>
          <w:sz w:val="24"/>
          <w:szCs w:val="24"/>
        </w:rPr>
        <w:t>Everyone has assumed a position they must now defend. Can they?</w:t>
      </w:r>
    </w:p>
    <w:p w:rsidR="0020235A" w:rsidRPr="005C04BF" w:rsidRDefault="0020235A" w:rsidP="00A352DD">
      <w:pPr>
        <w:jc w:val="both"/>
        <w:rPr>
          <w:rFonts w:cs="Times New Roman"/>
          <w:sz w:val="24"/>
          <w:szCs w:val="24"/>
        </w:rPr>
      </w:pPr>
    </w:p>
    <w:p w:rsidR="0069082A" w:rsidRPr="005C04BF" w:rsidRDefault="00A352DD" w:rsidP="00A352DD">
      <w:pPr>
        <w:jc w:val="both"/>
        <w:rPr>
          <w:rFonts w:cs="Times New Roman"/>
          <w:sz w:val="24"/>
          <w:szCs w:val="24"/>
        </w:rPr>
      </w:pPr>
      <w:r w:rsidRPr="005C04BF">
        <w:rPr>
          <w:rFonts w:cs="Times New Roman"/>
          <w:sz w:val="24"/>
          <w:szCs w:val="24"/>
        </w:rPr>
        <w:t>In their motions to dismiss the RICO claims the defendants argued that Plaintiffs were “</w:t>
      </w:r>
      <w:r w:rsidRPr="005C04BF">
        <w:rPr>
          <w:rFonts w:cs="Times New Roman"/>
          <w:i/>
          <w:sz w:val="24"/>
          <w:szCs w:val="24"/>
        </w:rPr>
        <w:t>disgruntled litigants seeking vengeance for being on the losing end of fully litigated state court determinations</w:t>
      </w:r>
      <w:r w:rsidRPr="005C04BF">
        <w:rPr>
          <w:rFonts w:cs="Times New Roman"/>
          <w:sz w:val="24"/>
          <w:szCs w:val="24"/>
        </w:rPr>
        <w:t xml:space="preserve">.” As previously stated, Petitioners couldn’t get an evidentiary hearing that might have produced a fully litigated state court determination, even though they </w:t>
      </w:r>
      <w:r w:rsidR="0069082A" w:rsidRPr="005C04BF">
        <w:rPr>
          <w:rFonts w:cs="Times New Roman"/>
          <w:sz w:val="24"/>
          <w:szCs w:val="24"/>
        </w:rPr>
        <w:t>made the traditional</w:t>
      </w:r>
      <w:r w:rsidRPr="005C04BF">
        <w:rPr>
          <w:rFonts w:cs="Times New Roman"/>
          <w:sz w:val="24"/>
          <w:szCs w:val="24"/>
        </w:rPr>
        <w:t xml:space="preserve"> good faith </w:t>
      </w:r>
      <w:r w:rsidR="0069082A" w:rsidRPr="005C04BF">
        <w:rPr>
          <w:rFonts w:cs="Times New Roman"/>
          <w:sz w:val="24"/>
          <w:szCs w:val="24"/>
        </w:rPr>
        <w:t xml:space="preserve">effort </w:t>
      </w:r>
      <w:r w:rsidRPr="005C04BF">
        <w:rPr>
          <w:rFonts w:cs="Times New Roman"/>
          <w:sz w:val="24"/>
          <w:szCs w:val="24"/>
        </w:rPr>
        <w:t>to do so.</w:t>
      </w:r>
    </w:p>
    <w:p w:rsidR="00A352DD" w:rsidRPr="005C04BF" w:rsidRDefault="00A352DD" w:rsidP="00A352DD">
      <w:pPr>
        <w:jc w:val="both"/>
        <w:rPr>
          <w:rFonts w:cs="Times New Roman"/>
          <w:sz w:val="24"/>
          <w:szCs w:val="24"/>
        </w:rPr>
      </w:pPr>
      <w:r w:rsidRPr="005C04BF">
        <w:rPr>
          <w:rFonts w:cs="Times New Roman"/>
          <w:sz w:val="24"/>
          <w:szCs w:val="24"/>
        </w:rPr>
        <w:t>Defendants violate Rule 11 in making these claims and the Courts violate rule 12(b)(6) in believing them over Plaintiffs.</w:t>
      </w:r>
    </w:p>
    <w:p w:rsidR="00A352DD" w:rsidRPr="005C04BF" w:rsidRDefault="00A352DD" w:rsidP="00A352DD">
      <w:pPr>
        <w:jc w:val="both"/>
        <w:rPr>
          <w:rFonts w:cs="Times New Roman"/>
          <w:sz w:val="24"/>
          <w:szCs w:val="24"/>
        </w:rPr>
      </w:pPr>
      <w:r w:rsidRPr="005C04BF">
        <w:rPr>
          <w:rFonts w:cs="Times New Roman"/>
          <w:sz w:val="24"/>
          <w:szCs w:val="24"/>
        </w:rPr>
        <w:tab/>
        <w:t>In their motions to dismiss the RICO claims the defendants also argued that the suit arose from a “</w:t>
      </w:r>
      <w:r w:rsidRPr="005C04BF">
        <w:rPr>
          <w:rFonts w:cs="Times New Roman"/>
          <w:i/>
          <w:sz w:val="24"/>
          <w:szCs w:val="24"/>
          <w:u w:val="single"/>
        </w:rPr>
        <w:t>Probate Matter</w:t>
      </w:r>
      <w:r w:rsidRPr="005C04BF">
        <w:rPr>
          <w:rFonts w:cs="Times New Roman"/>
          <w:sz w:val="24"/>
          <w:szCs w:val="24"/>
        </w:rPr>
        <w:t>” which they described as “</w:t>
      </w:r>
      <w:r w:rsidRPr="005C04BF">
        <w:rPr>
          <w:rFonts w:cs="Times New Roman"/>
          <w:sz w:val="24"/>
          <w:szCs w:val="24"/>
          <w:u w:val="single"/>
        </w:rPr>
        <w:t>a bitter dispute between five siblings over the administration of their parent’s estate</w:t>
      </w:r>
      <w:r w:rsidRPr="005C04BF">
        <w:rPr>
          <w:rFonts w:cs="Times New Roman"/>
          <w:sz w:val="24"/>
          <w:szCs w:val="24"/>
        </w:rPr>
        <w:t xml:space="preserve">”. </w:t>
      </w:r>
    </w:p>
    <w:p w:rsidR="00A352DD" w:rsidRPr="005C04BF" w:rsidRDefault="00A352DD" w:rsidP="00A352DD">
      <w:pPr>
        <w:ind w:firstLine="720"/>
        <w:jc w:val="both"/>
        <w:rPr>
          <w:rFonts w:cs="Times New Roman"/>
          <w:sz w:val="24"/>
          <w:szCs w:val="24"/>
        </w:rPr>
      </w:pPr>
      <w:r w:rsidRPr="005C04BF">
        <w:rPr>
          <w:rFonts w:cs="Times New Roman"/>
          <w:sz w:val="24"/>
          <w:szCs w:val="24"/>
        </w:rPr>
        <w:t xml:space="preserve">The will of Nelva Brunsting shows this assertion to be patently false as none of the siblings are </w:t>
      </w:r>
      <w:r w:rsidR="0069082A" w:rsidRPr="005C04BF">
        <w:rPr>
          <w:rFonts w:cs="Times New Roman"/>
          <w:sz w:val="24"/>
          <w:szCs w:val="24"/>
        </w:rPr>
        <w:t>devisees</w:t>
      </w:r>
      <w:r w:rsidRPr="005C04BF">
        <w:rPr>
          <w:rFonts w:cs="Times New Roman"/>
          <w:sz w:val="24"/>
          <w:szCs w:val="24"/>
        </w:rPr>
        <w:t xml:space="preserve"> to the estate. This example of refusal to distinguish between assets in the inter vivos trust and assets belonging to a decedent at the time of death is only one of the artifices regularly used by participants in this particular scheme. Another example of this particular artifice occurred while the inter vivos trust related RICO matter was on appeal. </w:t>
      </w:r>
    </w:p>
    <w:p w:rsidR="00A352DD" w:rsidRPr="005C04BF" w:rsidRDefault="00A352DD" w:rsidP="00A352DD">
      <w:pPr>
        <w:ind w:firstLine="720"/>
        <w:jc w:val="both"/>
        <w:rPr>
          <w:rFonts w:cs="Times New Roman"/>
          <w:sz w:val="24"/>
          <w:szCs w:val="24"/>
        </w:rPr>
      </w:pPr>
      <w:r w:rsidRPr="005C04BF">
        <w:rPr>
          <w:rFonts w:cs="Times New Roman"/>
          <w:sz w:val="24"/>
          <w:szCs w:val="24"/>
        </w:rPr>
        <w:lastRenderedPageBreak/>
        <w:t xml:space="preserve">The probate court issued an order to pay Gregory Lester and his attorney Jill Willard Young from assets belonging to the estate of Nelva Brunsting. Checks totally nearly $30,000 were subsequently written by Anita Brunsting who is neither heir nor executor and not a custodian of estate property. The checks were written against trust assets, not from property belonging to the estate of Nelva Brunsting. </w:t>
      </w:r>
    </w:p>
    <w:p w:rsidR="00A352DD" w:rsidRPr="005C04BF" w:rsidRDefault="00A352DD" w:rsidP="00A352DD">
      <w:pPr>
        <w:rPr>
          <w:rFonts w:cs="Times New Roman"/>
          <w:sz w:val="24"/>
          <w:szCs w:val="24"/>
        </w:rPr>
      </w:pPr>
    </w:p>
    <w:p w:rsidR="00A352DD" w:rsidRPr="005C04BF" w:rsidRDefault="00A352DD" w:rsidP="00A352DD">
      <w:pPr>
        <w:rPr>
          <w:rFonts w:eastAsiaTheme="majorEastAsia" w:cs="Times New Roman"/>
          <w:b/>
          <w:sz w:val="24"/>
          <w:szCs w:val="24"/>
        </w:rPr>
      </w:pPr>
      <w:r w:rsidRPr="005C04BF">
        <w:rPr>
          <w:rFonts w:cs="Times New Roman"/>
          <w:sz w:val="24"/>
          <w:szCs w:val="24"/>
        </w:rPr>
        <w:br w:type="page"/>
      </w:r>
    </w:p>
    <w:p w:rsidR="00A352DD" w:rsidRPr="005C04BF" w:rsidRDefault="00A352DD" w:rsidP="00D61CAC">
      <w:pPr>
        <w:pStyle w:val="Heading2"/>
        <w:rPr>
          <w:rFonts w:cs="Times New Roman"/>
          <w:sz w:val="24"/>
          <w:szCs w:val="24"/>
        </w:rPr>
      </w:pPr>
      <w:r w:rsidRPr="005C04BF">
        <w:rPr>
          <w:rFonts w:cs="Times New Roman"/>
          <w:sz w:val="24"/>
          <w:szCs w:val="24"/>
        </w:rPr>
        <w:lastRenderedPageBreak/>
        <w:t>INTERCEPTION OF GENERATIONAL ASSET TRANSFERS</w:t>
      </w:r>
    </w:p>
    <w:p w:rsidR="00A352DD" w:rsidRPr="005C04BF" w:rsidRDefault="00A352DD" w:rsidP="00A352DD">
      <w:pPr>
        <w:jc w:val="both"/>
        <w:rPr>
          <w:rFonts w:cs="Times New Roman"/>
          <w:sz w:val="24"/>
          <w:szCs w:val="24"/>
        </w:rPr>
      </w:pPr>
      <w:r w:rsidRPr="005C04BF">
        <w:rPr>
          <w:rFonts w:cs="Times New Roman"/>
          <w:sz w:val="24"/>
          <w:szCs w:val="24"/>
        </w:rPr>
        <w:t xml:space="preserve">In his landmark treatise, </w:t>
      </w:r>
      <w:r w:rsidRPr="005C04BF">
        <w:rPr>
          <w:rFonts w:cs="Times New Roman"/>
          <w:i/>
          <w:iCs/>
          <w:sz w:val="24"/>
          <w:szCs w:val="24"/>
        </w:rPr>
        <w:t>An Inquiry into the Nature and Causes of the Wealth of Nations</w:t>
      </w:r>
      <w:r w:rsidRPr="005C04BF">
        <w:rPr>
          <w:rFonts w:cs="Times New Roman"/>
          <w:sz w:val="24"/>
          <w:szCs w:val="24"/>
        </w:rPr>
        <w:t>, the Scottish economist Adam Smith observed how difficult it was for families to transition wealth from one generation to the next. He noted, “In commercial countries, therefore, riches, in spite of the most violent regulations of law to prevent their dissipation, very seldom remain long in the same family.” The year was 1776, and in an effort to maintain social order, the British monarchy preferred that wealth remain concentrated in the hands of relatively few aristocratic families, and therefore promulgated a legal structure to encourage that stability of wealth.</w:t>
      </w:r>
    </w:p>
    <w:p w:rsidR="00A352DD" w:rsidRPr="005C04BF" w:rsidRDefault="00A352DD" w:rsidP="00A352DD">
      <w:pPr>
        <w:rPr>
          <w:rFonts w:cs="Times New Roman"/>
          <w:sz w:val="24"/>
          <w:szCs w:val="24"/>
        </w:rPr>
      </w:pPr>
      <w:r w:rsidRPr="005C04BF">
        <w:rPr>
          <w:rFonts w:cs="Times New Roman"/>
          <w:b/>
          <w:bCs/>
          <w:sz w:val="24"/>
          <w:szCs w:val="24"/>
        </w:rPr>
        <w:t>A Failure to Communicate?</w:t>
      </w:r>
    </w:p>
    <w:p w:rsidR="00A352DD" w:rsidRPr="005C04BF" w:rsidRDefault="00A352DD" w:rsidP="00A352DD">
      <w:pPr>
        <w:jc w:val="both"/>
        <w:rPr>
          <w:rFonts w:cs="Times New Roman"/>
          <w:sz w:val="24"/>
          <w:szCs w:val="24"/>
        </w:rPr>
      </w:pPr>
      <w:r w:rsidRPr="005C04BF">
        <w:rPr>
          <w:rFonts w:cs="Times New Roman"/>
          <w:sz w:val="24"/>
          <w:szCs w:val="24"/>
        </w:rPr>
        <w:t>In 2002, Roy Williams of the Williams Group</w:t>
      </w:r>
      <w:r w:rsidRPr="005C04BF">
        <w:rPr>
          <w:rFonts w:cs="Times New Roman"/>
          <w:sz w:val="24"/>
          <w:szCs w:val="24"/>
          <w:vertAlign w:val="superscript"/>
        </w:rPr>
        <w:footnoteReference w:id="8"/>
      </w:r>
      <w:r w:rsidRPr="005C04BF">
        <w:rPr>
          <w:rFonts w:cs="Times New Roman"/>
          <w:sz w:val="24"/>
          <w:szCs w:val="24"/>
        </w:rPr>
        <w:t xml:space="preserve"> published the results of a 25-year survey of 3,250 instances of generational wealth transfer. He concluded that 70% of those transitions failed, where failure was defined as involuntary loss of control of the assets. That finding underscores and even quantifies the observation that Smith made centuries ago, but Williams took the analysis a step further and explored the reasons for those failures. </w:t>
      </w:r>
    </w:p>
    <w:p w:rsidR="00A352DD" w:rsidRPr="005C04BF" w:rsidRDefault="00A352DD" w:rsidP="00A352DD">
      <w:pPr>
        <w:rPr>
          <w:rFonts w:cs="Times New Roman"/>
          <w:i/>
          <w:iCs/>
          <w:sz w:val="24"/>
          <w:szCs w:val="24"/>
        </w:rPr>
      </w:pPr>
      <w:r w:rsidRPr="005C04BF">
        <w:rPr>
          <w:rFonts w:cs="Times New Roman"/>
          <w:b/>
          <w:bCs/>
          <w:i/>
          <w:iCs/>
          <w:sz w:val="24"/>
          <w:szCs w:val="24"/>
        </w:rPr>
        <w:t>The Causes of Failed Wealth Transfer</w:t>
      </w:r>
    </w:p>
    <w:p w:rsidR="00A352DD" w:rsidRPr="005C04BF" w:rsidRDefault="00A352DD" w:rsidP="00A352DD">
      <w:pPr>
        <w:rPr>
          <w:rFonts w:cs="Times New Roman"/>
          <w:sz w:val="24"/>
          <w:szCs w:val="24"/>
        </w:rPr>
      </w:pPr>
      <w:r w:rsidRPr="005C04BF">
        <w:rPr>
          <w:rFonts w:cs="Times New Roman"/>
          <w:b/>
          <w:bCs/>
          <w:noProof/>
          <w:sz w:val="24"/>
          <w:szCs w:val="24"/>
        </w:rPr>
        <w:drawing>
          <wp:inline distT="0" distB="0" distL="0" distR="0" wp14:anchorId="5375A546" wp14:editId="635252D5">
            <wp:extent cx="4763135" cy="2456815"/>
            <wp:effectExtent l="0" t="0" r="0" b="635"/>
            <wp:docPr id="1" name="Picture 1" descr="Crossed Wire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ed Wires 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2456815"/>
                    </a:xfrm>
                    <a:prstGeom prst="rect">
                      <a:avLst/>
                    </a:prstGeom>
                    <a:noFill/>
                    <a:ln>
                      <a:noFill/>
                    </a:ln>
                  </pic:spPr>
                </pic:pic>
              </a:graphicData>
            </a:graphic>
          </wp:inline>
        </w:drawing>
      </w:r>
    </w:p>
    <w:p w:rsidR="00A352DD" w:rsidRPr="005C04BF" w:rsidRDefault="00A352DD" w:rsidP="00A352DD">
      <w:pPr>
        <w:jc w:val="both"/>
        <w:rPr>
          <w:rFonts w:cs="Times New Roman"/>
          <w:i/>
          <w:iCs/>
          <w:sz w:val="24"/>
          <w:szCs w:val="24"/>
        </w:rPr>
      </w:pPr>
      <w:r w:rsidRPr="005C04BF">
        <w:rPr>
          <w:rFonts w:cs="Times New Roman"/>
          <w:i/>
          <w:iCs/>
          <w:sz w:val="24"/>
          <w:szCs w:val="24"/>
        </w:rPr>
        <w:t>Williams attributed only 3% of the failed wealth transitions to poor technical advice. There are plenty of moving parts in tax and estate law, and ambiguities abound as to their interpretation and implementation. And so the legal, insurance, accounting and investing professions spend a great deal of time and money on accreditation and continuing education in order to keep up with those changes and stay current on best practices. Although change is certain to remain a constant when it comes to the right trust structures and transition plans, the “how” of wealth transfer is a relatively settled science – and one that advisors rarely get wrong.</w:t>
      </w:r>
    </w:p>
    <w:p w:rsidR="00A352DD" w:rsidRPr="005C04BF" w:rsidRDefault="00A352DD" w:rsidP="00A352DD">
      <w:pPr>
        <w:jc w:val="both"/>
        <w:rPr>
          <w:rFonts w:cs="Times New Roman"/>
          <w:i/>
          <w:iCs/>
          <w:sz w:val="24"/>
          <w:szCs w:val="24"/>
        </w:rPr>
      </w:pPr>
      <w:r w:rsidRPr="005C04BF">
        <w:rPr>
          <w:rFonts w:cs="Times New Roman"/>
          <w:i/>
          <w:iCs/>
          <w:sz w:val="24"/>
          <w:szCs w:val="24"/>
        </w:rPr>
        <w:lastRenderedPageBreak/>
        <w:t>Ninety-seven percent of the failures were attributable to the family itself: due to a lack of a family mission (12%), the inadequate preparation of heirs (25%) or a breakdown of family communication and trust (60%).</w:t>
      </w:r>
    </w:p>
    <w:p w:rsidR="00A352DD" w:rsidRPr="005C04BF" w:rsidRDefault="00A352DD" w:rsidP="00A352DD">
      <w:pPr>
        <w:jc w:val="both"/>
        <w:rPr>
          <w:rFonts w:cs="Times New Roman"/>
          <w:sz w:val="24"/>
          <w:szCs w:val="24"/>
        </w:rPr>
      </w:pPr>
      <w:r w:rsidRPr="005C04BF">
        <w:rPr>
          <w:rFonts w:cs="Times New Roman"/>
          <w:sz w:val="24"/>
          <w:szCs w:val="24"/>
        </w:rPr>
        <w:t xml:space="preserve">According to the report: It is easy to attribute the failure of wealth transfers to today’s ever-changing legal landscape and the complexities that it poses to families with substantial wealth, whether in the form of financial assets, real estate or a family business. </w:t>
      </w:r>
    </w:p>
    <w:p w:rsidR="00A352DD" w:rsidRPr="005C04BF" w:rsidRDefault="00A352DD" w:rsidP="00A352DD">
      <w:pPr>
        <w:jc w:val="both"/>
        <w:rPr>
          <w:rFonts w:cs="Times New Roman"/>
          <w:sz w:val="24"/>
          <w:szCs w:val="24"/>
        </w:rPr>
      </w:pPr>
      <w:r w:rsidRPr="005C04BF">
        <w:rPr>
          <w:rFonts w:cs="Times New Roman"/>
          <w:sz w:val="24"/>
          <w:szCs w:val="24"/>
        </w:rPr>
        <w:t>Given, that the Williams Report definition of “failure” is “</w:t>
      </w:r>
      <w:r w:rsidRPr="005C04BF">
        <w:rPr>
          <w:rFonts w:cs="Times New Roman"/>
          <w:i/>
          <w:sz w:val="24"/>
          <w:szCs w:val="24"/>
        </w:rPr>
        <w:t>involuntary loss of control of assets</w:t>
      </w:r>
      <w:r w:rsidRPr="005C04BF">
        <w:rPr>
          <w:rFonts w:cs="Times New Roman"/>
          <w:sz w:val="24"/>
          <w:szCs w:val="24"/>
        </w:rPr>
        <w:t xml:space="preserve">” and that the “how” of wealth transfer is a relatively settled science, it would follow that the legal and financial complexities of wealth transfers are not key elements in the “failure” and that other factors influence whether or not a family can preserve its wealth across multiple generations. What those other factors are and to whom 70% of generational assets go when control is “involuntarily lost” by the family is not addressed in the report but would seem to hold the answers to causation questions. One point the Report placed emphasis on as causal was conflict within the family. </w:t>
      </w:r>
    </w:p>
    <w:p w:rsidR="00A352DD" w:rsidRPr="005C04BF" w:rsidRDefault="00A352DD" w:rsidP="00A352DD">
      <w:pPr>
        <w:jc w:val="both"/>
        <w:rPr>
          <w:rFonts w:cs="Times New Roman"/>
          <w:sz w:val="24"/>
          <w:szCs w:val="24"/>
        </w:rPr>
      </w:pPr>
      <w:r w:rsidRPr="005C04BF">
        <w:rPr>
          <w:rFonts w:cs="Times New Roman"/>
          <w:sz w:val="24"/>
          <w:szCs w:val="24"/>
        </w:rPr>
        <w:t xml:space="preserve">If, 97% of the failures were attributable to the family itself, and, as the report claims, wealth transfer is a relatively settled science, then how does animosity within the family play into the 70% asset loss to non-family interests? </w:t>
      </w:r>
    </w:p>
    <w:p w:rsidR="00A352DD" w:rsidRPr="005C04BF" w:rsidRDefault="00A352DD" w:rsidP="00A352DD">
      <w:pPr>
        <w:rPr>
          <w:rFonts w:cs="Times New Roman"/>
          <w:sz w:val="24"/>
          <w:szCs w:val="24"/>
        </w:rPr>
      </w:pPr>
      <w:r w:rsidRPr="005C04BF">
        <w:rPr>
          <w:rFonts w:cs="Times New Roman"/>
          <w:sz w:val="24"/>
          <w:szCs w:val="24"/>
        </w:rPr>
        <w:t>When I spoke with the late Roy Williams I backed him into a corner with a single question. If 70% of the assets fail to transfer to intended heirs and beneficiaries, because of involuntary loss of control of the assets... to whom do those assets involuntarily go and how do they involuntarily get there?</w:t>
      </w:r>
    </w:p>
    <w:p w:rsidR="00A352DD" w:rsidRPr="005C04BF" w:rsidRDefault="00A352DD" w:rsidP="00A352DD">
      <w:pPr>
        <w:jc w:val="both"/>
        <w:rPr>
          <w:rFonts w:cs="Times New Roman"/>
          <w:sz w:val="24"/>
          <w:szCs w:val="24"/>
        </w:rPr>
      </w:pPr>
    </w:p>
    <w:p w:rsidR="00A352DD" w:rsidRPr="005C04BF" w:rsidRDefault="00A352DD" w:rsidP="00D61CAC">
      <w:pPr>
        <w:pStyle w:val="Heading2"/>
        <w:rPr>
          <w:rFonts w:cs="Times New Roman"/>
          <w:sz w:val="24"/>
          <w:szCs w:val="24"/>
        </w:rPr>
      </w:pPr>
      <w:r w:rsidRPr="005C04BF">
        <w:rPr>
          <w:rFonts w:cs="Times New Roman"/>
          <w:sz w:val="24"/>
          <w:szCs w:val="24"/>
        </w:rPr>
        <w:t>The Breakdown of Family Communication and Trust</w:t>
      </w:r>
    </w:p>
    <w:p w:rsidR="00A352DD" w:rsidRPr="005C04BF" w:rsidRDefault="00A352DD" w:rsidP="00A352DD">
      <w:pPr>
        <w:jc w:val="both"/>
        <w:rPr>
          <w:rFonts w:cs="Times New Roman"/>
          <w:sz w:val="24"/>
          <w:szCs w:val="24"/>
        </w:rPr>
      </w:pPr>
      <w:r w:rsidRPr="005C04BF">
        <w:rPr>
          <w:rFonts w:cs="Times New Roman"/>
          <w:sz w:val="24"/>
          <w:szCs w:val="24"/>
        </w:rPr>
        <w:t xml:space="preserve">The Williams report chart, as seen above, attributes 60% of the cause to a breakdown in family communication and trust and those would seem to go hand in hand. One possibility is when a familial fiduciary goes bad and refuses to distribute, disclose or account, and otherwise remains silent where there is a duty to speak, it generally signals dishonorable intentions and the victims of the malfeasance are forced to seek remedy through the courts. </w:t>
      </w:r>
    </w:p>
    <w:p w:rsidR="00A352DD" w:rsidRPr="005C04BF" w:rsidRDefault="00A352DD" w:rsidP="00A352DD">
      <w:pPr>
        <w:jc w:val="both"/>
        <w:rPr>
          <w:rFonts w:cs="Times New Roman"/>
          <w:sz w:val="24"/>
          <w:szCs w:val="24"/>
        </w:rPr>
      </w:pPr>
      <w:r w:rsidRPr="005C04BF">
        <w:rPr>
          <w:rFonts w:cs="Times New Roman"/>
          <w:sz w:val="24"/>
          <w:szCs w:val="24"/>
        </w:rPr>
        <w:t xml:space="preserve">Few are well versed in law and must seek the services of an attorney as no one else can help them in court. Once an attorney is involved, the family can no longer communicate directly with that family member and are required to communicate only through the respective family member’s attorney. If more family members retain attorneys, more third party interests interject themselves, resulting in less communication between the family and less motivation for the third party attorneys to resolve anything. </w:t>
      </w:r>
    </w:p>
    <w:p w:rsidR="00A352DD" w:rsidRPr="005C04BF" w:rsidRDefault="00A352DD" w:rsidP="00A352DD">
      <w:pPr>
        <w:rPr>
          <w:rFonts w:cs="Times New Roman"/>
          <w:sz w:val="24"/>
          <w:szCs w:val="24"/>
        </w:rPr>
      </w:pPr>
      <w:r w:rsidRPr="005C04BF">
        <w:rPr>
          <w:rFonts w:cs="Times New Roman"/>
          <w:sz w:val="24"/>
          <w:szCs w:val="24"/>
        </w:rPr>
        <w:t>So, in order to intercept generational asset transfers, if the third party interlopers are to obtain the lion’s share of those familial assets, it appears that the creation of a controversy; the breaking down of communications between the real parties in interest; and removal of control over the assets, would be essential elements in the scheme.</w:t>
      </w:r>
    </w:p>
    <w:p w:rsidR="00A352DD" w:rsidRPr="005C04BF" w:rsidRDefault="00A352DD" w:rsidP="00A352DD">
      <w:pPr>
        <w:rPr>
          <w:rFonts w:cs="Times New Roman"/>
          <w:sz w:val="24"/>
          <w:szCs w:val="24"/>
        </w:rPr>
      </w:pPr>
    </w:p>
    <w:p w:rsidR="00A352DD" w:rsidRPr="005C04BF" w:rsidRDefault="00A352DD" w:rsidP="00A352DD">
      <w:pPr>
        <w:rPr>
          <w:rFonts w:cs="Times New Roman"/>
          <w:sz w:val="24"/>
          <w:szCs w:val="24"/>
        </w:rPr>
      </w:pPr>
    </w:p>
    <w:p w:rsidR="00A352DD" w:rsidRPr="005C04BF" w:rsidRDefault="00A352DD" w:rsidP="00A352DD">
      <w:pPr>
        <w:rPr>
          <w:rFonts w:cs="Times New Roman"/>
          <w:sz w:val="24"/>
          <w:szCs w:val="24"/>
        </w:rPr>
      </w:pPr>
    </w:p>
    <w:p w:rsidR="00A352DD" w:rsidRPr="005C04BF" w:rsidRDefault="00A352DD" w:rsidP="00A352DD">
      <w:pPr>
        <w:rPr>
          <w:rFonts w:cs="Times New Roman"/>
          <w:sz w:val="24"/>
          <w:szCs w:val="24"/>
        </w:rPr>
      </w:pPr>
    </w:p>
    <w:p w:rsidR="00D222CC" w:rsidRPr="005C04BF" w:rsidRDefault="00D222CC" w:rsidP="008D4C61">
      <w:pPr>
        <w:jc w:val="both"/>
        <w:rPr>
          <w:rFonts w:cs="Times New Roman"/>
          <w:sz w:val="24"/>
          <w:szCs w:val="24"/>
        </w:rPr>
      </w:pPr>
    </w:p>
    <w:p w:rsidR="00D653E0" w:rsidRPr="005C04BF" w:rsidRDefault="00D653E0">
      <w:pPr>
        <w:rPr>
          <w:rFonts w:cs="Times New Roman"/>
          <w:sz w:val="24"/>
          <w:szCs w:val="24"/>
        </w:rPr>
      </w:pPr>
    </w:p>
    <w:sectPr w:rsidR="00D653E0" w:rsidRPr="005C04B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3A" w:rsidRDefault="003C353A" w:rsidP="00A352DD">
      <w:pPr>
        <w:spacing w:after="0" w:line="240" w:lineRule="auto"/>
      </w:pPr>
      <w:r>
        <w:separator/>
      </w:r>
    </w:p>
  </w:endnote>
  <w:endnote w:type="continuationSeparator" w:id="0">
    <w:p w:rsidR="003C353A" w:rsidRDefault="003C353A" w:rsidP="00A3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174160"/>
      <w:docPartObj>
        <w:docPartGallery w:val="Page Numbers (Bottom of Page)"/>
        <w:docPartUnique/>
      </w:docPartObj>
    </w:sdtPr>
    <w:sdtEndPr>
      <w:rPr>
        <w:noProof/>
      </w:rPr>
    </w:sdtEndPr>
    <w:sdtContent>
      <w:p w:rsidR="00624175" w:rsidRDefault="00624175">
        <w:pPr>
          <w:pStyle w:val="Footer"/>
          <w:jc w:val="center"/>
        </w:pPr>
        <w:r>
          <w:fldChar w:fldCharType="begin"/>
        </w:r>
        <w:r>
          <w:instrText xml:space="preserve"> PAGE   \* MERGEFORMAT </w:instrText>
        </w:r>
        <w:r>
          <w:fldChar w:fldCharType="separate"/>
        </w:r>
        <w:r w:rsidR="003C353A">
          <w:rPr>
            <w:noProof/>
          </w:rPr>
          <w:t>1</w:t>
        </w:r>
        <w:r>
          <w:rPr>
            <w:noProof/>
          </w:rPr>
          <w:fldChar w:fldCharType="end"/>
        </w:r>
      </w:p>
    </w:sdtContent>
  </w:sdt>
  <w:p w:rsidR="00624175" w:rsidRDefault="00624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3A" w:rsidRDefault="003C353A" w:rsidP="00A352DD">
      <w:pPr>
        <w:spacing w:after="0" w:line="240" w:lineRule="auto"/>
      </w:pPr>
      <w:r>
        <w:separator/>
      </w:r>
    </w:p>
  </w:footnote>
  <w:footnote w:type="continuationSeparator" w:id="0">
    <w:p w:rsidR="003C353A" w:rsidRDefault="003C353A" w:rsidP="00A352DD">
      <w:pPr>
        <w:spacing w:after="0" w:line="240" w:lineRule="auto"/>
      </w:pPr>
      <w:r>
        <w:continuationSeparator/>
      </w:r>
    </w:p>
  </w:footnote>
  <w:footnote w:id="1">
    <w:p w:rsidR="001A7FE6" w:rsidRDefault="001A7FE6" w:rsidP="00444029">
      <w:pPr>
        <w:pStyle w:val="FootNotes"/>
      </w:pPr>
      <w:r>
        <w:rPr>
          <w:rStyle w:val="FootnoteReference"/>
        </w:rPr>
        <w:footnoteRef/>
      </w:r>
      <w:r>
        <w:t xml:space="preserve"> </w:t>
      </w:r>
      <w:r w:rsidRPr="00F6798E">
        <w:t>Candace, Carl, Carole, Amy and Anita</w:t>
      </w:r>
    </w:p>
  </w:footnote>
  <w:footnote w:id="2">
    <w:p w:rsidR="001A7FE6" w:rsidRDefault="001A7FE6" w:rsidP="002447B8">
      <w:pPr>
        <w:pStyle w:val="FootNotes"/>
      </w:pPr>
      <w:r>
        <w:rPr>
          <w:rStyle w:val="FootnoteReference"/>
        </w:rPr>
        <w:footnoteRef/>
      </w:r>
      <w:r>
        <w:t xml:space="preserve"> </w:t>
      </w:r>
      <w:r w:rsidRPr="00A16F1C">
        <w:t>Anita schemed to regain control of the trust from that point forward as can be seen as a general theme throughout.</w:t>
      </w:r>
    </w:p>
  </w:footnote>
  <w:footnote w:id="3">
    <w:p w:rsidR="001A7FE6" w:rsidRDefault="001A7FE6" w:rsidP="002447B8">
      <w:pPr>
        <w:pStyle w:val="FootNotes"/>
      </w:pPr>
      <w:r>
        <w:rPr>
          <w:rStyle w:val="FootnoteReference"/>
        </w:rPr>
        <w:footnoteRef/>
      </w:r>
      <w:r>
        <w:t xml:space="preserve"> </w:t>
      </w:r>
      <w:r w:rsidRPr="00740725">
        <w:t>July 28, 2007 Nelva email to Candy re being trustee with Carl because Amy is not stable enough</w:t>
      </w:r>
    </w:p>
  </w:footnote>
  <w:footnote w:id="4">
    <w:p w:rsidR="001A7FE6" w:rsidRDefault="001A7FE6" w:rsidP="002447B8">
      <w:pPr>
        <w:pStyle w:val="FootNotes"/>
      </w:pPr>
      <w:r>
        <w:rPr>
          <w:rStyle w:val="FootnoteReference"/>
        </w:rPr>
        <w:footnoteRef/>
      </w:r>
      <w:r>
        <w:t xml:space="preserve"> </w:t>
      </w:r>
      <w:r w:rsidRPr="00444029">
        <w:t>July 1, 2008 Appointment of Successor Trustees naming Anita with Carl surfaces 6/25/2015 in Anita’s disclosures</w:t>
      </w:r>
    </w:p>
  </w:footnote>
  <w:footnote w:id="5">
    <w:p w:rsidR="001A7FE6" w:rsidRDefault="001A7FE6" w:rsidP="00CC1DB0">
      <w:pPr>
        <w:pStyle w:val="FootNotes"/>
      </w:pPr>
      <w:r>
        <w:rPr>
          <w:rStyle w:val="FootnoteReference"/>
        </w:rPr>
        <w:footnoteRef/>
      </w:r>
      <w:r>
        <w:t xml:space="preserve"> If you fan the bottom of the trust instrument the page numbers dance all over the bottom of the page. This and the numbering scheme are sure fire tell-tales.</w:t>
      </w:r>
    </w:p>
  </w:footnote>
  <w:footnote w:id="6">
    <w:p w:rsidR="001A7FE6" w:rsidRDefault="001A7FE6" w:rsidP="00CC1DB0">
      <w:pPr>
        <w:pStyle w:val="FootNotes"/>
      </w:pPr>
      <w:r>
        <w:rPr>
          <w:rStyle w:val="FootnoteReference"/>
        </w:rPr>
        <w:footnoteRef/>
      </w:r>
      <w:r>
        <w:t xml:space="preserve"> </w:t>
      </w:r>
      <w:r w:rsidRPr="00C55310">
        <w:t xml:space="preserve">Qualified Beneficiary Designation </w:t>
      </w:r>
      <w:r>
        <w:t>“QBD” applies only to the share of the Founder who exercises it</w:t>
      </w:r>
    </w:p>
  </w:footnote>
  <w:footnote w:id="7">
    <w:p w:rsidR="001A7FE6" w:rsidRDefault="001A7FE6" w:rsidP="00CC1DB0">
      <w:pPr>
        <w:pStyle w:val="FootNotes"/>
      </w:pPr>
      <w:r>
        <w:rPr>
          <w:rStyle w:val="FootnoteReference"/>
        </w:rPr>
        <w:footnoteRef/>
      </w:r>
      <w:r>
        <w:t xml:space="preserve"> Article IX is titled “Administering the Decedents Trust” and is a power allegedly belonging to the surviving founder.</w:t>
      </w:r>
    </w:p>
  </w:footnote>
  <w:footnote w:id="8">
    <w:p w:rsidR="001A7FE6" w:rsidRDefault="001A7FE6" w:rsidP="00A352DD">
      <w:pPr>
        <w:pStyle w:val="FootnoteText"/>
      </w:pPr>
      <w:r>
        <w:rPr>
          <w:rStyle w:val="FootnoteReference"/>
        </w:rPr>
        <w:footnoteRef/>
      </w:r>
      <w:r>
        <w:t xml:space="preserve"> </w:t>
      </w:r>
      <w:hyperlink r:id="rId1" w:history="1">
        <w:r w:rsidRPr="00E073B4">
          <w:rPr>
            <w:rStyle w:val="Hyperlink"/>
          </w:rPr>
          <w:t>http://www.thewilliamsgroup.org/</w:t>
        </w:r>
      </w:hyperlink>
      <w:r>
        <w:t xml:space="preserve"> The Williams Group, 1443 N. El Camino Real Suite A, San Clemente, CA 92672 Telephone 949-940-9140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43" w:rsidRDefault="00417D43">
    <w:pPr>
      <w:pStyle w:val="Header"/>
    </w:pPr>
    <w:r>
      <w:t>The Participants and the Organized Crime Objectives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2248"/>
    <w:multiLevelType w:val="hybridMultilevel"/>
    <w:tmpl w:val="EABCB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146EB"/>
    <w:multiLevelType w:val="hybridMultilevel"/>
    <w:tmpl w:val="E6D41A08"/>
    <w:lvl w:ilvl="0" w:tplc="6520F3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5263D0"/>
    <w:multiLevelType w:val="hybridMultilevel"/>
    <w:tmpl w:val="803E4E44"/>
    <w:lvl w:ilvl="0" w:tplc="6520F3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D72AB1"/>
    <w:multiLevelType w:val="hybridMultilevel"/>
    <w:tmpl w:val="1BEA51A6"/>
    <w:lvl w:ilvl="0" w:tplc="E0CED11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76B39"/>
    <w:multiLevelType w:val="hybridMultilevel"/>
    <w:tmpl w:val="F95247F6"/>
    <w:lvl w:ilvl="0" w:tplc="0B5404A6">
      <w:start w:val="1"/>
      <w:numFmt w:val="decimal"/>
      <w:pStyle w:val="Style1"/>
      <w:lvlText w:val="%1."/>
      <w:lvlJc w:val="left"/>
      <w:pPr>
        <w:ind w:left="1080" w:hanging="360"/>
      </w:pPr>
      <w:rPr>
        <w:rFonts w:hint="default"/>
      </w:rPr>
    </w:lvl>
    <w:lvl w:ilvl="1" w:tplc="38323474">
      <w:start w:val="1"/>
      <w:numFmt w:val="lowerLetter"/>
      <w:pStyle w:val="Style2"/>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E143B2"/>
    <w:multiLevelType w:val="hybridMultilevel"/>
    <w:tmpl w:val="BDB8C516"/>
    <w:lvl w:ilvl="0" w:tplc="6520F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A6650B"/>
    <w:multiLevelType w:val="hybridMultilevel"/>
    <w:tmpl w:val="E6D41A08"/>
    <w:lvl w:ilvl="0" w:tplc="6520F3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E0689C"/>
    <w:multiLevelType w:val="hybridMultilevel"/>
    <w:tmpl w:val="DEF281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360B33"/>
    <w:multiLevelType w:val="hybridMultilevel"/>
    <w:tmpl w:val="7B70D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D87279"/>
    <w:multiLevelType w:val="hybridMultilevel"/>
    <w:tmpl w:val="95C64E16"/>
    <w:lvl w:ilvl="0" w:tplc="1DBCF79C">
      <w:start w:val="1"/>
      <w:numFmt w:val="decimal"/>
      <w:pStyle w:val="NumPara"/>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B67782"/>
    <w:multiLevelType w:val="hybridMultilevel"/>
    <w:tmpl w:val="E6D41A08"/>
    <w:lvl w:ilvl="0" w:tplc="6520F3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10"/>
  </w:num>
  <w:num w:numId="5">
    <w:abstractNumId w:val="5"/>
  </w:num>
  <w:num w:numId="6">
    <w:abstractNumId w:val="6"/>
  </w:num>
  <w:num w:numId="7">
    <w:abstractNumId w:val="7"/>
  </w:num>
  <w:num w:numId="8">
    <w:abstractNumId w:val="0"/>
  </w:num>
  <w:num w:numId="9">
    <w:abstractNumId w:val="3"/>
  </w:num>
  <w:num w:numId="10">
    <w:abstractNumId w:val="9"/>
  </w:num>
  <w:num w:numId="11">
    <w:abstractNumId w:val="8"/>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8A"/>
    <w:rsid w:val="00015B24"/>
    <w:rsid w:val="00036C7B"/>
    <w:rsid w:val="00054A19"/>
    <w:rsid w:val="000616B7"/>
    <w:rsid w:val="000B6CF1"/>
    <w:rsid w:val="000F13F9"/>
    <w:rsid w:val="00117FE9"/>
    <w:rsid w:val="00124726"/>
    <w:rsid w:val="001A7FE6"/>
    <w:rsid w:val="001C31A4"/>
    <w:rsid w:val="0020235A"/>
    <w:rsid w:val="002222D8"/>
    <w:rsid w:val="002447B8"/>
    <w:rsid w:val="00280360"/>
    <w:rsid w:val="00287D14"/>
    <w:rsid w:val="00311F6E"/>
    <w:rsid w:val="00366861"/>
    <w:rsid w:val="0037555A"/>
    <w:rsid w:val="003A1E26"/>
    <w:rsid w:val="003A6FC6"/>
    <w:rsid w:val="003B5DF2"/>
    <w:rsid w:val="003C353A"/>
    <w:rsid w:val="003C7D50"/>
    <w:rsid w:val="003D74F7"/>
    <w:rsid w:val="00414D12"/>
    <w:rsid w:val="00417D43"/>
    <w:rsid w:val="00443E1F"/>
    <w:rsid w:val="00444029"/>
    <w:rsid w:val="004A28A3"/>
    <w:rsid w:val="004A6814"/>
    <w:rsid w:val="004F40FA"/>
    <w:rsid w:val="004F6B21"/>
    <w:rsid w:val="0051096A"/>
    <w:rsid w:val="0051655C"/>
    <w:rsid w:val="00595A46"/>
    <w:rsid w:val="005A0B6F"/>
    <w:rsid w:val="005A29FC"/>
    <w:rsid w:val="005B43B3"/>
    <w:rsid w:val="005C04BF"/>
    <w:rsid w:val="00614538"/>
    <w:rsid w:val="00624175"/>
    <w:rsid w:val="006346F0"/>
    <w:rsid w:val="006534AD"/>
    <w:rsid w:val="0068707B"/>
    <w:rsid w:val="0069082A"/>
    <w:rsid w:val="006D007C"/>
    <w:rsid w:val="006D1542"/>
    <w:rsid w:val="006E26DB"/>
    <w:rsid w:val="00721920"/>
    <w:rsid w:val="0072741F"/>
    <w:rsid w:val="00740725"/>
    <w:rsid w:val="00794EC4"/>
    <w:rsid w:val="007D403D"/>
    <w:rsid w:val="00800A36"/>
    <w:rsid w:val="008B2169"/>
    <w:rsid w:val="008C3A1E"/>
    <w:rsid w:val="008D4C61"/>
    <w:rsid w:val="008E1020"/>
    <w:rsid w:val="009355DE"/>
    <w:rsid w:val="00987170"/>
    <w:rsid w:val="00992ED1"/>
    <w:rsid w:val="00995705"/>
    <w:rsid w:val="009A5A94"/>
    <w:rsid w:val="009F49EB"/>
    <w:rsid w:val="00A11CED"/>
    <w:rsid w:val="00A16F1C"/>
    <w:rsid w:val="00A352DD"/>
    <w:rsid w:val="00A44C6A"/>
    <w:rsid w:val="00A67B90"/>
    <w:rsid w:val="00AF6A1F"/>
    <w:rsid w:val="00B464C0"/>
    <w:rsid w:val="00B50D14"/>
    <w:rsid w:val="00B745B9"/>
    <w:rsid w:val="00BA16A7"/>
    <w:rsid w:val="00BA2931"/>
    <w:rsid w:val="00BD6A16"/>
    <w:rsid w:val="00C14C8A"/>
    <w:rsid w:val="00C36567"/>
    <w:rsid w:val="00C55310"/>
    <w:rsid w:val="00CC1DB0"/>
    <w:rsid w:val="00CF0107"/>
    <w:rsid w:val="00D222CC"/>
    <w:rsid w:val="00D61CAC"/>
    <w:rsid w:val="00D653E0"/>
    <w:rsid w:val="00DB5605"/>
    <w:rsid w:val="00DC103A"/>
    <w:rsid w:val="00E13BFE"/>
    <w:rsid w:val="00E161B5"/>
    <w:rsid w:val="00E26BFD"/>
    <w:rsid w:val="00E72848"/>
    <w:rsid w:val="00E745F1"/>
    <w:rsid w:val="00EB76AF"/>
    <w:rsid w:val="00EC3C55"/>
    <w:rsid w:val="00EC671B"/>
    <w:rsid w:val="00F11946"/>
    <w:rsid w:val="00F22EC3"/>
    <w:rsid w:val="00F2739B"/>
    <w:rsid w:val="00F33D99"/>
    <w:rsid w:val="00F6798E"/>
    <w:rsid w:val="00F84B52"/>
    <w:rsid w:val="00FC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20"/>
    <w:rPr>
      <w:rFonts w:ascii="Times New Roman" w:hAnsi="Times New Roman"/>
      <w:sz w:val="28"/>
    </w:rPr>
  </w:style>
  <w:style w:type="paragraph" w:styleId="Heading1">
    <w:name w:val="heading 1"/>
    <w:basedOn w:val="Normal"/>
    <w:next w:val="Normal"/>
    <w:link w:val="Heading1Char"/>
    <w:uiPriority w:val="9"/>
    <w:qFormat/>
    <w:rsid w:val="00B50D14"/>
    <w:pPr>
      <w:jc w:val="center"/>
      <w:outlineLvl w:val="0"/>
    </w:pPr>
    <w:rPr>
      <w:b/>
    </w:rPr>
  </w:style>
  <w:style w:type="paragraph" w:styleId="Heading2">
    <w:name w:val="heading 2"/>
    <w:basedOn w:val="Normal"/>
    <w:next w:val="Normal"/>
    <w:link w:val="Heading2Char"/>
    <w:uiPriority w:val="9"/>
    <w:unhideWhenUsed/>
    <w:qFormat/>
    <w:rsid w:val="00D61CAC"/>
    <w:pPr>
      <w:outlineLvl w:val="1"/>
    </w:pPr>
    <w:rPr>
      <w:b/>
    </w:rPr>
  </w:style>
  <w:style w:type="paragraph" w:styleId="Heading3">
    <w:name w:val="heading 3"/>
    <w:basedOn w:val="Normal"/>
    <w:next w:val="Normal"/>
    <w:link w:val="Heading3Char"/>
    <w:uiPriority w:val="9"/>
    <w:unhideWhenUsed/>
    <w:qFormat/>
    <w:rsid w:val="00D61CAC"/>
    <w:pPr>
      <w:tabs>
        <w:tab w:val="left" w:pos="720"/>
      </w:tabs>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D14"/>
    <w:rPr>
      <w:rFonts w:ascii="Times New Roman" w:hAnsi="Times New Roman"/>
      <w:b/>
      <w:sz w:val="28"/>
    </w:rPr>
  </w:style>
  <w:style w:type="character" w:customStyle="1" w:styleId="Heading2Char">
    <w:name w:val="Heading 2 Char"/>
    <w:basedOn w:val="DefaultParagraphFont"/>
    <w:link w:val="Heading2"/>
    <w:uiPriority w:val="9"/>
    <w:rsid w:val="00D61CAC"/>
    <w:rPr>
      <w:rFonts w:ascii="Times New Roman" w:hAnsi="Times New Roman"/>
      <w:b/>
      <w:sz w:val="28"/>
    </w:rPr>
  </w:style>
  <w:style w:type="paragraph" w:styleId="FootnoteText">
    <w:name w:val="footnote text"/>
    <w:basedOn w:val="Normal"/>
    <w:link w:val="FootnoteTextChar"/>
    <w:uiPriority w:val="99"/>
    <w:semiHidden/>
    <w:unhideWhenUsed/>
    <w:rsid w:val="00A352DD"/>
    <w:pPr>
      <w:spacing w:before="240"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A352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52DD"/>
    <w:rPr>
      <w:vertAlign w:val="superscript"/>
    </w:rPr>
  </w:style>
  <w:style w:type="character" w:styleId="Hyperlink">
    <w:name w:val="Hyperlink"/>
    <w:basedOn w:val="DefaultParagraphFont"/>
    <w:uiPriority w:val="99"/>
    <w:unhideWhenUsed/>
    <w:rsid w:val="00A352DD"/>
    <w:rPr>
      <w:color w:val="0563C1" w:themeColor="hyperlink"/>
      <w:u w:val="single"/>
    </w:rPr>
  </w:style>
  <w:style w:type="character" w:customStyle="1" w:styleId="Heading3Char">
    <w:name w:val="Heading 3 Char"/>
    <w:basedOn w:val="DefaultParagraphFont"/>
    <w:link w:val="Heading3"/>
    <w:uiPriority w:val="9"/>
    <w:rsid w:val="00D61CAC"/>
    <w:rPr>
      <w:rFonts w:ascii="Times New Roman" w:hAnsi="Times New Roman"/>
      <w:b/>
      <w:sz w:val="28"/>
    </w:rPr>
  </w:style>
  <w:style w:type="paragraph" w:styleId="ListParagraph">
    <w:name w:val="List Paragraph"/>
    <w:basedOn w:val="Normal"/>
    <w:link w:val="ListParagraphChar"/>
    <w:uiPriority w:val="34"/>
    <w:qFormat/>
    <w:rsid w:val="00AF6A1F"/>
    <w:pPr>
      <w:ind w:left="720"/>
      <w:contextualSpacing/>
    </w:pPr>
  </w:style>
  <w:style w:type="paragraph" w:styleId="NoSpacing">
    <w:name w:val="No Spacing"/>
    <w:uiPriority w:val="1"/>
    <w:qFormat/>
    <w:rsid w:val="002222D8"/>
    <w:pPr>
      <w:spacing w:after="0" w:line="240" w:lineRule="auto"/>
    </w:pPr>
    <w:rPr>
      <w:rFonts w:ascii="Times New Roman" w:hAnsi="Times New Roman"/>
      <w:sz w:val="28"/>
    </w:rPr>
  </w:style>
  <w:style w:type="paragraph" w:customStyle="1" w:styleId="NumPara">
    <w:name w:val="Num Para"/>
    <w:basedOn w:val="Normal"/>
    <w:link w:val="NumParaChar"/>
    <w:qFormat/>
    <w:rsid w:val="008B2169"/>
    <w:pPr>
      <w:numPr>
        <w:numId w:val="10"/>
      </w:numPr>
      <w:spacing w:before="120" w:after="240" w:line="480" w:lineRule="auto"/>
      <w:ind w:hanging="720"/>
      <w:contextualSpacing/>
      <w:jc w:val="both"/>
    </w:pPr>
  </w:style>
  <w:style w:type="character" w:customStyle="1" w:styleId="NumParaChar">
    <w:name w:val="Num Para Char"/>
    <w:basedOn w:val="DefaultParagraphFont"/>
    <w:link w:val="NumPara"/>
    <w:rsid w:val="008B2169"/>
    <w:rPr>
      <w:rFonts w:ascii="Times New Roman" w:hAnsi="Times New Roman"/>
      <w:sz w:val="28"/>
    </w:rPr>
  </w:style>
  <w:style w:type="paragraph" w:styleId="BalloonText">
    <w:name w:val="Balloon Text"/>
    <w:basedOn w:val="Normal"/>
    <w:link w:val="BalloonTextChar"/>
    <w:uiPriority w:val="99"/>
    <w:semiHidden/>
    <w:unhideWhenUsed/>
    <w:rsid w:val="00280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60"/>
    <w:rPr>
      <w:rFonts w:ascii="Tahoma" w:hAnsi="Tahoma" w:cs="Tahoma"/>
      <w:sz w:val="16"/>
      <w:szCs w:val="16"/>
    </w:rPr>
  </w:style>
  <w:style w:type="paragraph" w:customStyle="1" w:styleId="Style1">
    <w:name w:val="Style1"/>
    <w:basedOn w:val="ListParagraph"/>
    <w:link w:val="Style1Char"/>
    <w:qFormat/>
    <w:rsid w:val="00794EC4"/>
    <w:pPr>
      <w:numPr>
        <w:numId w:val="1"/>
      </w:numPr>
      <w:tabs>
        <w:tab w:val="left" w:pos="720"/>
      </w:tabs>
      <w:spacing w:before="120" w:after="120"/>
      <w:ind w:left="0" w:firstLine="0"/>
      <w:contextualSpacing w:val="0"/>
    </w:pPr>
    <w:rPr>
      <w:sz w:val="24"/>
    </w:rPr>
  </w:style>
  <w:style w:type="paragraph" w:customStyle="1" w:styleId="Style2">
    <w:name w:val="Style2"/>
    <w:basedOn w:val="ListParagraph"/>
    <w:link w:val="Style2Char"/>
    <w:qFormat/>
    <w:rsid w:val="002447B8"/>
    <w:pPr>
      <w:numPr>
        <w:ilvl w:val="1"/>
        <w:numId w:val="1"/>
      </w:numPr>
      <w:tabs>
        <w:tab w:val="left" w:pos="720"/>
      </w:tabs>
      <w:ind w:left="720"/>
    </w:pPr>
    <w:rPr>
      <w:sz w:val="24"/>
    </w:rPr>
  </w:style>
  <w:style w:type="character" w:customStyle="1" w:styleId="ListParagraphChar">
    <w:name w:val="List Paragraph Char"/>
    <w:basedOn w:val="DefaultParagraphFont"/>
    <w:link w:val="ListParagraph"/>
    <w:uiPriority w:val="34"/>
    <w:rsid w:val="0051655C"/>
    <w:rPr>
      <w:rFonts w:ascii="Times New Roman" w:hAnsi="Times New Roman"/>
      <w:sz w:val="28"/>
    </w:rPr>
  </w:style>
  <w:style w:type="character" w:customStyle="1" w:styleId="Style1Char">
    <w:name w:val="Style1 Char"/>
    <w:basedOn w:val="ListParagraphChar"/>
    <w:link w:val="Style1"/>
    <w:rsid w:val="00794EC4"/>
    <w:rPr>
      <w:rFonts w:ascii="Times New Roman" w:hAnsi="Times New Roman"/>
      <w:sz w:val="24"/>
    </w:rPr>
  </w:style>
  <w:style w:type="paragraph" w:customStyle="1" w:styleId="FootNotes">
    <w:name w:val="FootNotes"/>
    <w:basedOn w:val="FootnoteText"/>
    <w:link w:val="FootNotesChar"/>
    <w:qFormat/>
    <w:rsid w:val="006346F0"/>
    <w:pPr>
      <w:spacing w:before="0"/>
      <w:contextualSpacing/>
    </w:pPr>
  </w:style>
  <w:style w:type="character" w:customStyle="1" w:styleId="Style2Char">
    <w:name w:val="Style2 Char"/>
    <w:basedOn w:val="ListParagraphChar"/>
    <w:link w:val="Style2"/>
    <w:rsid w:val="002447B8"/>
    <w:rPr>
      <w:rFonts w:ascii="Times New Roman" w:hAnsi="Times New Roman"/>
      <w:sz w:val="24"/>
    </w:rPr>
  </w:style>
  <w:style w:type="paragraph" w:styleId="BodyTextIndent">
    <w:name w:val="Body Text Indent"/>
    <w:basedOn w:val="Normal"/>
    <w:link w:val="BodyTextIndentChar"/>
    <w:semiHidden/>
    <w:unhideWhenUsed/>
    <w:rsid w:val="00DC103A"/>
    <w:pPr>
      <w:spacing w:after="0" w:line="240" w:lineRule="auto"/>
      <w:ind w:firstLine="720"/>
    </w:pPr>
    <w:rPr>
      <w:rFonts w:eastAsia="Times New Roman" w:cs="Times New Roman"/>
      <w:sz w:val="24"/>
      <w:szCs w:val="24"/>
    </w:rPr>
  </w:style>
  <w:style w:type="character" w:customStyle="1" w:styleId="FootNotesChar">
    <w:name w:val="FootNotes Char"/>
    <w:basedOn w:val="FootnoteTextChar"/>
    <w:link w:val="FootNotes"/>
    <w:rsid w:val="006346F0"/>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DC103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A7FE6"/>
    <w:pPr>
      <w:spacing w:after="120"/>
    </w:pPr>
  </w:style>
  <w:style w:type="character" w:customStyle="1" w:styleId="BodyTextChar">
    <w:name w:val="Body Text Char"/>
    <w:basedOn w:val="DefaultParagraphFont"/>
    <w:link w:val="BodyText"/>
    <w:uiPriority w:val="99"/>
    <w:semiHidden/>
    <w:rsid w:val="001A7FE6"/>
    <w:rPr>
      <w:rFonts w:ascii="Times New Roman" w:hAnsi="Times New Roman"/>
      <w:sz w:val="28"/>
    </w:rPr>
  </w:style>
  <w:style w:type="paragraph" w:styleId="Header">
    <w:name w:val="header"/>
    <w:basedOn w:val="Normal"/>
    <w:link w:val="HeaderChar"/>
    <w:uiPriority w:val="99"/>
    <w:unhideWhenUsed/>
    <w:rsid w:val="00624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175"/>
    <w:rPr>
      <w:rFonts w:ascii="Times New Roman" w:hAnsi="Times New Roman"/>
      <w:sz w:val="28"/>
    </w:rPr>
  </w:style>
  <w:style w:type="paragraph" w:styleId="Footer">
    <w:name w:val="footer"/>
    <w:basedOn w:val="Normal"/>
    <w:link w:val="FooterChar"/>
    <w:uiPriority w:val="99"/>
    <w:unhideWhenUsed/>
    <w:rsid w:val="00624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175"/>
    <w:rPr>
      <w:rFonts w:ascii="Times New Roman" w:hAnsi="Times New Roman"/>
      <w:sz w:val="28"/>
    </w:rPr>
  </w:style>
  <w:style w:type="paragraph" w:styleId="HTMLPreformatted">
    <w:name w:val="HTML Preformatted"/>
    <w:basedOn w:val="Normal"/>
    <w:link w:val="HTMLPreformattedChar"/>
    <w:uiPriority w:val="99"/>
    <w:semiHidden/>
    <w:unhideWhenUsed/>
    <w:rsid w:val="0099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570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20"/>
    <w:rPr>
      <w:rFonts w:ascii="Times New Roman" w:hAnsi="Times New Roman"/>
      <w:sz w:val="28"/>
    </w:rPr>
  </w:style>
  <w:style w:type="paragraph" w:styleId="Heading1">
    <w:name w:val="heading 1"/>
    <w:basedOn w:val="Normal"/>
    <w:next w:val="Normal"/>
    <w:link w:val="Heading1Char"/>
    <w:uiPriority w:val="9"/>
    <w:qFormat/>
    <w:rsid w:val="00B50D14"/>
    <w:pPr>
      <w:jc w:val="center"/>
      <w:outlineLvl w:val="0"/>
    </w:pPr>
    <w:rPr>
      <w:b/>
    </w:rPr>
  </w:style>
  <w:style w:type="paragraph" w:styleId="Heading2">
    <w:name w:val="heading 2"/>
    <w:basedOn w:val="Normal"/>
    <w:next w:val="Normal"/>
    <w:link w:val="Heading2Char"/>
    <w:uiPriority w:val="9"/>
    <w:unhideWhenUsed/>
    <w:qFormat/>
    <w:rsid w:val="00D61CAC"/>
    <w:pPr>
      <w:outlineLvl w:val="1"/>
    </w:pPr>
    <w:rPr>
      <w:b/>
    </w:rPr>
  </w:style>
  <w:style w:type="paragraph" w:styleId="Heading3">
    <w:name w:val="heading 3"/>
    <w:basedOn w:val="Normal"/>
    <w:next w:val="Normal"/>
    <w:link w:val="Heading3Char"/>
    <w:uiPriority w:val="9"/>
    <w:unhideWhenUsed/>
    <w:qFormat/>
    <w:rsid w:val="00D61CAC"/>
    <w:pPr>
      <w:tabs>
        <w:tab w:val="left" w:pos="720"/>
      </w:tabs>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D14"/>
    <w:rPr>
      <w:rFonts w:ascii="Times New Roman" w:hAnsi="Times New Roman"/>
      <w:b/>
      <w:sz w:val="28"/>
    </w:rPr>
  </w:style>
  <w:style w:type="character" w:customStyle="1" w:styleId="Heading2Char">
    <w:name w:val="Heading 2 Char"/>
    <w:basedOn w:val="DefaultParagraphFont"/>
    <w:link w:val="Heading2"/>
    <w:uiPriority w:val="9"/>
    <w:rsid w:val="00D61CAC"/>
    <w:rPr>
      <w:rFonts w:ascii="Times New Roman" w:hAnsi="Times New Roman"/>
      <w:b/>
      <w:sz w:val="28"/>
    </w:rPr>
  </w:style>
  <w:style w:type="paragraph" w:styleId="FootnoteText">
    <w:name w:val="footnote text"/>
    <w:basedOn w:val="Normal"/>
    <w:link w:val="FootnoteTextChar"/>
    <w:uiPriority w:val="99"/>
    <w:semiHidden/>
    <w:unhideWhenUsed/>
    <w:rsid w:val="00A352DD"/>
    <w:pPr>
      <w:spacing w:before="240"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A352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52DD"/>
    <w:rPr>
      <w:vertAlign w:val="superscript"/>
    </w:rPr>
  </w:style>
  <w:style w:type="character" w:styleId="Hyperlink">
    <w:name w:val="Hyperlink"/>
    <w:basedOn w:val="DefaultParagraphFont"/>
    <w:uiPriority w:val="99"/>
    <w:unhideWhenUsed/>
    <w:rsid w:val="00A352DD"/>
    <w:rPr>
      <w:color w:val="0563C1" w:themeColor="hyperlink"/>
      <w:u w:val="single"/>
    </w:rPr>
  </w:style>
  <w:style w:type="character" w:customStyle="1" w:styleId="Heading3Char">
    <w:name w:val="Heading 3 Char"/>
    <w:basedOn w:val="DefaultParagraphFont"/>
    <w:link w:val="Heading3"/>
    <w:uiPriority w:val="9"/>
    <w:rsid w:val="00D61CAC"/>
    <w:rPr>
      <w:rFonts w:ascii="Times New Roman" w:hAnsi="Times New Roman"/>
      <w:b/>
      <w:sz w:val="28"/>
    </w:rPr>
  </w:style>
  <w:style w:type="paragraph" w:styleId="ListParagraph">
    <w:name w:val="List Paragraph"/>
    <w:basedOn w:val="Normal"/>
    <w:link w:val="ListParagraphChar"/>
    <w:uiPriority w:val="34"/>
    <w:qFormat/>
    <w:rsid w:val="00AF6A1F"/>
    <w:pPr>
      <w:ind w:left="720"/>
      <w:contextualSpacing/>
    </w:pPr>
  </w:style>
  <w:style w:type="paragraph" w:styleId="NoSpacing">
    <w:name w:val="No Spacing"/>
    <w:uiPriority w:val="1"/>
    <w:qFormat/>
    <w:rsid w:val="002222D8"/>
    <w:pPr>
      <w:spacing w:after="0" w:line="240" w:lineRule="auto"/>
    </w:pPr>
    <w:rPr>
      <w:rFonts w:ascii="Times New Roman" w:hAnsi="Times New Roman"/>
      <w:sz w:val="28"/>
    </w:rPr>
  </w:style>
  <w:style w:type="paragraph" w:customStyle="1" w:styleId="NumPara">
    <w:name w:val="Num Para"/>
    <w:basedOn w:val="Normal"/>
    <w:link w:val="NumParaChar"/>
    <w:qFormat/>
    <w:rsid w:val="008B2169"/>
    <w:pPr>
      <w:numPr>
        <w:numId w:val="10"/>
      </w:numPr>
      <w:spacing w:before="120" w:after="240" w:line="480" w:lineRule="auto"/>
      <w:ind w:hanging="720"/>
      <w:contextualSpacing/>
      <w:jc w:val="both"/>
    </w:pPr>
  </w:style>
  <w:style w:type="character" w:customStyle="1" w:styleId="NumParaChar">
    <w:name w:val="Num Para Char"/>
    <w:basedOn w:val="DefaultParagraphFont"/>
    <w:link w:val="NumPara"/>
    <w:rsid w:val="008B2169"/>
    <w:rPr>
      <w:rFonts w:ascii="Times New Roman" w:hAnsi="Times New Roman"/>
      <w:sz w:val="28"/>
    </w:rPr>
  </w:style>
  <w:style w:type="paragraph" w:styleId="BalloonText">
    <w:name w:val="Balloon Text"/>
    <w:basedOn w:val="Normal"/>
    <w:link w:val="BalloonTextChar"/>
    <w:uiPriority w:val="99"/>
    <w:semiHidden/>
    <w:unhideWhenUsed/>
    <w:rsid w:val="00280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60"/>
    <w:rPr>
      <w:rFonts w:ascii="Tahoma" w:hAnsi="Tahoma" w:cs="Tahoma"/>
      <w:sz w:val="16"/>
      <w:szCs w:val="16"/>
    </w:rPr>
  </w:style>
  <w:style w:type="paragraph" w:customStyle="1" w:styleId="Style1">
    <w:name w:val="Style1"/>
    <w:basedOn w:val="ListParagraph"/>
    <w:link w:val="Style1Char"/>
    <w:qFormat/>
    <w:rsid w:val="00794EC4"/>
    <w:pPr>
      <w:numPr>
        <w:numId w:val="1"/>
      </w:numPr>
      <w:tabs>
        <w:tab w:val="left" w:pos="720"/>
      </w:tabs>
      <w:spacing w:before="120" w:after="120"/>
      <w:ind w:left="0" w:firstLine="0"/>
      <w:contextualSpacing w:val="0"/>
    </w:pPr>
    <w:rPr>
      <w:sz w:val="24"/>
    </w:rPr>
  </w:style>
  <w:style w:type="paragraph" w:customStyle="1" w:styleId="Style2">
    <w:name w:val="Style2"/>
    <w:basedOn w:val="ListParagraph"/>
    <w:link w:val="Style2Char"/>
    <w:qFormat/>
    <w:rsid w:val="002447B8"/>
    <w:pPr>
      <w:numPr>
        <w:ilvl w:val="1"/>
        <w:numId w:val="1"/>
      </w:numPr>
      <w:tabs>
        <w:tab w:val="left" w:pos="720"/>
      </w:tabs>
      <w:ind w:left="720"/>
    </w:pPr>
    <w:rPr>
      <w:sz w:val="24"/>
    </w:rPr>
  </w:style>
  <w:style w:type="character" w:customStyle="1" w:styleId="ListParagraphChar">
    <w:name w:val="List Paragraph Char"/>
    <w:basedOn w:val="DefaultParagraphFont"/>
    <w:link w:val="ListParagraph"/>
    <w:uiPriority w:val="34"/>
    <w:rsid w:val="0051655C"/>
    <w:rPr>
      <w:rFonts w:ascii="Times New Roman" w:hAnsi="Times New Roman"/>
      <w:sz w:val="28"/>
    </w:rPr>
  </w:style>
  <w:style w:type="character" w:customStyle="1" w:styleId="Style1Char">
    <w:name w:val="Style1 Char"/>
    <w:basedOn w:val="ListParagraphChar"/>
    <w:link w:val="Style1"/>
    <w:rsid w:val="00794EC4"/>
    <w:rPr>
      <w:rFonts w:ascii="Times New Roman" w:hAnsi="Times New Roman"/>
      <w:sz w:val="24"/>
    </w:rPr>
  </w:style>
  <w:style w:type="paragraph" w:customStyle="1" w:styleId="FootNotes">
    <w:name w:val="FootNotes"/>
    <w:basedOn w:val="FootnoteText"/>
    <w:link w:val="FootNotesChar"/>
    <w:qFormat/>
    <w:rsid w:val="006346F0"/>
    <w:pPr>
      <w:spacing w:before="0"/>
      <w:contextualSpacing/>
    </w:pPr>
  </w:style>
  <w:style w:type="character" w:customStyle="1" w:styleId="Style2Char">
    <w:name w:val="Style2 Char"/>
    <w:basedOn w:val="ListParagraphChar"/>
    <w:link w:val="Style2"/>
    <w:rsid w:val="002447B8"/>
    <w:rPr>
      <w:rFonts w:ascii="Times New Roman" w:hAnsi="Times New Roman"/>
      <w:sz w:val="24"/>
    </w:rPr>
  </w:style>
  <w:style w:type="paragraph" w:styleId="BodyTextIndent">
    <w:name w:val="Body Text Indent"/>
    <w:basedOn w:val="Normal"/>
    <w:link w:val="BodyTextIndentChar"/>
    <w:semiHidden/>
    <w:unhideWhenUsed/>
    <w:rsid w:val="00DC103A"/>
    <w:pPr>
      <w:spacing w:after="0" w:line="240" w:lineRule="auto"/>
      <w:ind w:firstLine="720"/>
    </w:pPr>
    <w:rPr>
      <w:rFonts w:eastAsia="Times New Roman" w:cs="Times New Roman"/>
      <w:sz w:val="24"/>
      <w:szCs w:val="24"/>
    </w:rPr>
  </w:style>
  <w:style w:type="character" w:customStyle="1" w:styleId="FootNotesChar">
    <w:name w:val="FootNotes Char"/>
    <w:basedOn w:val="FootnoteTextChar"/>
    <w:link w:val="FootNotes"/>
    <w:rsid w:val="006346F0"/>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DC103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A7FE6"/>
    <w:pPr>
      <w:spacing w:after="120"/>
    </w:pPr>
  </w:style>
  <w:style w:type="character" w:customStyle="1" w:styleId="BodyTextChar">
    <w:name w:val="Body Text Char"/>
    <w:basedOn w:val="DefaultParagraphFont"/>
    <w:link w:val="BodyText"/>
    <w:uiPriority w:val="99"/>
    <w:semiHidden/>
    <w:rsid w:val="001A7FE6"/>
    <w:rPr>
      <w:rFonts w:ascii="Times New Roman" w:hAnsi="Times New Roman"/>
      <w:sz w:val="28"/>
    </w:rPr>
  </w:style>
  <w:style w:type="paragraph" w:styleId="Header">
    <w:name w:val="header"/>
    <w:basedOn w:val="Normal"/>
    <w:link w:val="HeaderChar"/>
    <w:uiPriority w:val="99"/>
    <w:unhideWhenUsed/>
    <w:rsid w:val="00624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175"/>
    <w:rPr>
      <w:rFonts w:ascii="Times New Roman" w:hAnsi="Times New Roman"/>
      <w:sz w:val="28"/>
    </w:rPr>
  </w:style>
  <w:style w:type="paragraph" w:styleId="Footer">
    <w:name w:val="footer"/>
    <w:basedOn w:val="Normal"/>
    <w:link w:val="FooterChar"/>
    <w:uiPriority w:val="99"/>
    <w:unhideWhenUsed/>
    <w:rsid w:val="00624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175"/>
    <w:rPr>
      <w:rFonts w:ascii="Times New Roman" w:hAnsi="Times New Roman"/>
      <w:sz w:val="28"/>
    </w:rPr>
  </w:style>
  <w:style w:type="paragraph" w:styleId="HTMLPreformatted">
    <w:name w:val="HTML Preformatted"/>
    <w:basedOn w:val="Normal"/>
    <w:link w:val="HTMLPreformattedChar"/>
    <w:uiPriority w:val="99"/>
    <w:semiHidden/>
    <w:unhideWhenUsed/>
    <w:rsid w:val="0099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57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2637">
      <w:bodyDiv w:val="1"/>
      <w:marLeft w:val="0"/>
      <w:marRight w:val="0"/>
      <w:marTop w:val="0"/>
      <w:marBottom w:val="0"/>
      <w:divBdr>
        <w:top w:val="none" w:sz="0" w:space="0" w:color="auto"/>
        <w:left w:val="none" w:sz="0" w:space="0" w:color="auto"/>
        <w:bottom w:val="none" w:sz="0" w:space="0" w:color="auto"/>
        <w:right w:val="none" w:sz="0" w:space="0" w:color="auto"/>
      </w:divBdr>
    </w:div>
    <w:div w:id="350496464">
      <w:bodyDiv w:val="1"/>
      <w:marLeft w:val="0"/>
      <w:marRight w:val="0"/>
      <w:marTop w:val="0"/>
      <w:marBottom w:val="0"/>
      <w:divBdr>
        <w:top w:val="none" w:sz="0" w:space="0" w:color="auto"/>
        <w:left w:val="none" w:sz="0" w:space="0" w:color="auto"/>
        <w:bottom w:val="none" w:sz="0" w:space="0" w:color="auto"/>
        <w:right w:val="none" w:sz="0" w:space="0" w:color="auto"/>
      </w:divBdr>
    </w:div>
    <w:div w:id="825777525">
      <w:bodyDiv w:val="1"/>
      <w:marLeft w:val="0"/>
      <w:marRight w:val="0"/>
      <w:marTop w:val="0"/>
      <w:marBottom w:val="0"/>
      <w:divBdr>
        <w:top w:val="none" w:sz="0" w:space="0" w:color="auto"/>
        <w:left w:val="none" w:sz="0" w:space="0" w:color="auto"/>
        <w:bottom w:val="none" w:sz="0" w:space="0" w:color="auto"/>
        <w:right w:val="none" w:sz="0" w:space="0" w:color="auto"/>
      </w:divBdr>
    </w:div>
    <w:div w:id="1759059778">
      <w:bodyDiv w:val="1"/>
      <w:marLeft w:val="0"/>
      <w:marRight w:val="0"/>
      <w:marTop w:val="0"/>
      <w:marBottom w:val="0"/>
      <w:divBdr>
        <w:top w:val="none" w:sz="0" w:space="0" w:color="auto"/>
        <w:left w:val="none" w:sz="0" w:space="0" w:color="auto"/>
        <w:bottom w:val="none" w:sz="0" w:space="0" w:color="auto"/>
        <w:right w:val="none" w:sz="0" w:space="0" w:color="auto"/>
      </w:divBdr>
    </w:div>
    <w:div w:id="1901161937">
      <w:bodyDiv w:val="1"/>
      <w:marLeft w:val="0"/>
      <w:marRight w:val="0"/>
      <w:marTop w:val="0"/>
      <w:marBottom w:val="0"/>
      <w:divBdr>
        <w:top w:val="none" w:sz="0" w:space="0" w:color="auto"/>
        <w:left w:val="none" w:sz="0" w:space="0" w:color="auto"/>
        <w:bottom w:val="none" w:sz="0" w:space="0" w:color="auto"/>
        <w:right w:val="none" w:sz="0" w:space="0" w:color="auto"/>
      </w:divBdr>
    </w:div>
    <w:div w:id="19512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t.home3@yahoo.com" TargetMode="External"/><Relationship Id="rId4" Type="http://schemas.microsoft.com/office/2007/relationships/stylesWithEffects" Target="stylesWithEffects.xml"/><Relationship Id="rId9" Type="http://schemas.openxmlformats.org/officeDocument/2006/relationships/hyperlink" Target="mailto:akbrunsting@suddenlink.ne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hewilliams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E1EA-E071-47FE-A884-F3712DBB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14</Pages>
  <Words>4292</Words>
  <Characters>22280</Characters>
  <Application>Microsoft Office Word</Application>
  <DocSecurity>0</DocSecurity>
  <Lines>454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5</cp:revision>
  <dcterms:created xsi:type="dcterms:W3CDTF">2019-01-16T17:19:00Z</dcterms:created>
  <dcterms:modified xsi:type="dcterms:W3CDTF">2024-01-03T20:37:00Z</dcterms:modified>
</cp:coreProperties>
</file>