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F2" w:rsidRDefault="00296AF2" w:rsidP="00BB22E2">
      <w:pPr>
        <w:autoSpaceDE w:val="0"/>
        <w:autoSpaceDN w:val="0"/>
        <w:adjustRightInd w:val="0"/>
        <w:spacing w:before="0" w:after="0"/>
        <w:ind w:firstLine="0"/>
        <w:rPr>
          <w:color w:val="212529"/>
        </w:rPr>
      </w:pPr>
    </w:p>
    <w:p w:rsidR="00E53076" w:rsidRDefault="00B10952" w:rsidP="00B2586A">
      <w:pPr>
        <w:autoSpaceDE w:val="0"/>
        <w:autoSpaceDN w:val="0"/>
        <w:adjustRightInd w:val="0"/>
        <w:spacing w:before="0" w:after="0"/>
        <w:ind w:firstLine="0"/>
        <w:jc w:val="both"/>
        <w:rPr>
          <w:color w:val="212529"/>
        </w:rPr>
      </w:pPr>
      <w:r>
        <w:rPr>
          <w:color w:val="212529"/>
        </w:rPr>
        <w:t>Petitioner</w:t>
      </w:r>
      <w:r w:rsidR="00296AF2">
        <w:rPr>
          <w:color w:val="212529"/>
        </w:rPr>
        <w:t xml:space="preserve">, </w:t>
      </w:r>
      <w:r>
        <w:rPr>
          <w:color w:val="212529"/>
        </w:rPr>
        <w:t>judgment creditor Candace Louise Curtis</w:t>
      </w:r>
      <w:r w:rsidR="00296AF2">
        <w:rPr>
          <w:color w:val="212529"/>
        </w:rPr>
        <w:t>,</w:t>
      </w:r>
      <w:r>
        <w:rPr>
          <w:color w:val="212529"/>
        </w:rPr>
        <w:t xml:space="preserve"> herein declares and states that she brought suit against Anita and Amy Brunsting for breach of fiduciary </w:t>
      </w:r>
      <w:r w:rsidR="000E4D5E">
        <w:rPr>
          <w:color w:val="212529"/>
        </w:rPr>
        <w:t xml:space="preserve">duty </w:t>
      </w:r>
      <w:r>
        <w:rPr>
          <w:color w:val="212529"/>
        </w:rPr>
        <w:t>in the Southern District of Texas</w:t>
      </w:r>
      <w:r w:rsidR="00296AF2">
        <w:rPr>
          <w:color w:val="212529"/>
        </w:rPr>
        <w:t xml:space="preserve"> on February 27, 2012</w:t>
      </w:r>
      <w:r w:rsidR="000E4D5E">
        <w:rPr>
          <w:color w:val="212529"/>
        </w:rPr>
        <w:t xml:space="preserve"> seeking a mandatory trust accounting and disclosures</w:t>
      </w:r>
      <w:r>
        <w:rPr>
          <w:color w:val="212529"/>
        </w:rPr>
        <w:t>.</w:t>
      </w:r>
      <w:r w:rsidR="000E4D5E">
        <w:rPr>
          <w:rStyle w:val="FootnoteReference"/>
          <w:color w:val="212529"/>
        </w:rPr>
        <w:footnoteReference w:id="1"/>
      </w:r>
      <w:r>
        <w:rPr>
          <w:color w:val="212529"/>
        </w:rPr>
        <w:t xml:space="preserve"> </w:t>
      </w:r>
    </w:p>
    <w:p w:rsidR="00E53076" w:rsidRDefault="00E53076" w:rsidP="00B2586A">
      <w:pPr>
        <w:autoSpaceDE w:val="0"/>
        <w:autoSpaceDN w:val="0"/>
        <w:adjustRightInd w:val="0"/>
        <w:spacing w:before="0" w:after="0"/>
        <w:ind w:firstLine="0"/>
        <w:jc w:val="both"/>
        <w:rPr>
          <w:color w:val="212529"/>
        </w:rPr>
      </w:pPr>
    </w:p>
    <w:p w:rsidR="00B10952" w:rsidRDefault="00B10952" w:rsidP="00B2586A">
      <w:pPr>
        <w:autoSpaceDE w:val="0"/>
        <w:autoSpaceDN w:val="0"/>
        <w:adjustRightInd w:val="0"/>
        <w:spacing w:before="0" w:after="0"/>
        <w:ind w:firstLine="0"/>
        <w:jc w:val="both"/>
        <w:rPr>
          <w:color w:val="212529"/>
        </w:rPr>
      </w:pPr>
      <w:r>
        <w:rPr>
          <w:color w:val="212529"/>
        </w:rPr>
        <w:t xml:space="preserve">The </w:t>
      </w:r>
      <w:r w:rsidR="00296AF2">
        <w:rPr>
          <w:color w:val="212529"/>
        </w:rPr>
        <w:t xml:space="preserve">general </w:t>
      </w:r>
      <w:r>
        <w:rPr>
          <w:color w:val="212529"/>
        </w:rPr>
        <w:t xml:space="preserve">elements </w:t>
      </w:r>
      <w:r w:rsidR="00E53076">
        <w:rPr>
          <w:color w:val="212529"/>
        </w:rPr>
        <w:t>that</w:t>
      </w:r>
      <w:r w:rsidR="00296AF2">
        <w:rPr>
          <w:color w:val="212529"/>
        </w:rPr>
        <w:t xml:space="preserve"> establish </w:t>
      </w:r>
      <w:r>
        <w:rPr>
          <w:color w:val="212529"/>
        </w:rPr>
        <w:t>a breach of fiduciary are</w:t>
      </w:r>
      <w:r w:rsidR="00296AF2">
        <w:rPr>
          <w:color w:val="212529"/>
        </w:rPr>
        <w:t>:</w:t>
      </w:r>
      <w:r>
        <w:rPr>
          <w:color w:val="212529"/>
        </w:rPr>
        <w:t xml:space="preserve">  </w:t>
      </w:r>
    </w:p>
    <w:p w:rsidR="00B10952" w:rsidRDefault="00B10952" w:rsidP="00B2586A">
      <w:pPr>
        <w:pStyle w:val="Quote"/>
        <w:ind w:firstLine="0"/>
        <w:jc w:val="both"/>
      </w:pPr>
      <w:r>
        <w:t xml:space="preserve">(1) </w:t>
      </w:r>
      <w:proofErr w:type="gramStart"/>
      <w:r>
        <w:t>a</w:t>
      </w:r>
      <w:proofErr w:type="gramEnd"/>
      <w:r>
        <w:t xml:space="preserve"> fiduciary relationship between the plaintiff and defendant;</w:t>
      </w:r>
    </w:p>
    <w:p w:rsidR="00B10952" w:rsidRDefault="00B10952" w:rsidP="00B2586A">
      <w:pPr>
        <w:pStyle w:val="Quote"/>
        <w:ind w:firstLine="0"/>
        <w:jc w:val="both"/>
      </w:pPr>
      <w:r>
        <w:t xml:space="preserve"> (2) </w:t>
      </w:r>
      <w:proofErr w:type="gramStart"/>
      <w:r>
        <w:t>the</w:t>
      </w:r>
      <w:proofErr w:type="gramEnd"/>
      <w:r>
        <w:t xml:space="preserve"> defendant must have breached his fiduciary duty to the plaintiff; and</w:t>
      </w:r>
    </w:p>
    <w:p w:rsidR="00296AF2" w:rsidRDefault="00B10952" w:rsidP="00B2586A">
      <w:pPr>
        <w:pStyle w:val="Quote"/>
        <w:ind w:firstLine="0"/>
        <w:jc w:val="both"/>
      </w:pPr>
      <w:r>
        <w:t xml:space="preserve"> (3) </w:t>
      </w:r>
      <w:proofErr w:type="gramStart"/>
      <w:r>
        <w:t>the</w:t>
      </w:r>
      <w:proofErr w:type="gramEnd"/>
      <w:r>
        <w:t xml:space="preserve"> defendant's breach must result in injury to the plainti</w:t>
      </w:r>
      <w:r w:rsidR="00296AF2">
        <w:t>ff or benefit to the defendant.</w:t>
      </w:r>
      <w:r w:rsidR="00296AF2" w:rsidRPr="00296AF2">
        <w:rPr>
          <w:rStyle w:val="FootnoteReference"/>
          <w:color w:val="212529"/>
        </w:rPr>
        <w:t xml:space="preserve"> </w:t>
      </w:r>
      <w:r w:rsidR="00296AF2">
        <w:rPr>
          <w:rStyle w:val="FootnoteReference"/>
          <w:color w:val="212529"/>
        </w:rPr>
        <w:footnoteReference w:id="2"/>
      </w:r>
    </w:p>
    <w:p w:rsidR="000E4D5E" w:rsidRDefault="00264949" w:rsidP="00B2586A">
      <w:pPr>
        <w:autoSpaceDE w:val="0"/>
        <w:autoSpaceDN w:val="0"/>
        <w:adjustRightInd w:val="0"/>
        <w:spacing w:before="0" w:after="0"/>
        <w:ind w:firstLine="0"/>
        <w:jc w:val="both"/>
        <w:rPr>
          <w:color w:val="212529"/>
        </w:rPr>
      </w:pPr>
      <w:r>
        <w:rPr>
          <w:color w:val="212529"/>
        </w:rPr>
        <w:t xml:space="preserve">On April 9, 2013, after a full evidentiary hearing in the Southern District of Texas, </w:t>
      </w:r>
      <w:r w:rsidR="000E4D5E">
        <w:rPr>
          <w:color w:val="212529"/>
        </w:rPr>
        <w:t>t</w:t>
      </w:r>
      <w:r w:rsidR="00E53076">
        <w:rPr>
          <w:color w:val="212529"/>
        </w:rPr>
        <w:t>he Court held Petitioner to be a beneficiary of the family trust</w:t>
      </w:r>
      <w:r w:rsidR="002637AC">
        <w:rPr>
          <w:color w:val="212529"/>
        </w:rPr>
        <w:t xml:space="preserve"> and</w:t>
      </w:r>
      <w:r w:rsidR="00E53076">
        <w:rPr>
          <w:color w:val="212529"/>
        </w:rPr>
        <w:t xml:space="preserve"> </w:t>
      </w:r>
      <w:r w:rsidR="000E4D5E">
        <w:rPr>
          <w:color w:val="212529"/>
        </w:rPr>
        <w:t xml:space="preserve">found </w:t>
      </w:r>
      <w:r w:rsidR="00E53076">
        <w:rPr>
          <w:color w:val="212529"/>
        </w:rPr>
        <w:t>Defendants to be acting as trustees thus ow</w:t>
      </w:r>
      <w:r w:rsidR="002637AC">
        <w:rPr>
          <w:color w:val="212529"/>
        </w:rPr>
        <w:t>ing</w:t>
      </w:r>
      <w:r w:rsidR="00E53076">
        <w:rPr>
          <w:color w:val="212529"/>
        </w:rPr>
        <w:t xml:space="preserve"> fiduciary duties to Plaintiff</w:t>
      </w:r>
      <w:r w:rsidR="000E4D5E">
        <w:rPr>
          <w:color w:val="212529"/>
        </w:rPr>
        <w:t xml:space="preserve">. The Court further found </w:t>
      </w:r>
      <w:r w:rsidR="000E4D5E">
        <w:rPr>
          <w:color w:val="212529"/>
        </w:rPr>
        <w:t xml:space="preserve">anomalies in the trust instruments presented by the Defendants </w:t>
      </w:r>
      <w:r w:rsidR="000E4D5E">
        <w:rPr>
          <w:color w:val="212529"/>
        </w:rPr>
        <w:t xml:space="preserve">and </w:t>
      </w:r>
      <w:r w:rsidR="00E53076">
        <w:rPr>
          <w:color w:val="212529"/>
        </w:rPr>
        <w:t xml:space="preserve">that </w:t>
      </w:r>
      <w:r>
        <w:rPr>
          <w:color w:val="212529"/>
        </w:rPr>
        <w:t>Defendant</w:t>
      </w:r>
      <w:r w:rsidR="00E53076">
        <w:rPr>
          <w:color w:val="212529"/>
        </w:rPr>
        <w:t>s had</w:t>
      </w:r>
      <w:r>
        <w:rPr>
          <w:color w:val="212529"/>
        </w:rPr>
        <w:t xml:space="preserve"> failed to perform in accordance with the duties required by the trust</w:t>
      </w:r>
      <w:r w:rsidR="000E4D5E">
        <w:rPr>
          <w:color w:val="212529"/>
        </w:rPr>
        <w:t xml:space="preserve"> instruments presented</w:t>
      </w:r>
      <w:r w:rsidR="00864A1B">
        <w:rPr>
          <w:color w:val="212529"/>
        </w:rPr>
        <w:t>.</w:t>
      </w:r>
      <w:r w:rsidR="000E4D5E">
        <w:rPr>
          <w:color w:val="212529"/>
        </w:rPr>
        <w:t xml:space="preserve"> </w:t>
      </w:r>
    </w:p>
    <w:p w:rsidR="000E4D5E" w:rsidRDefault="000E4D5E" w:rsidP="00B2586A">
      <w:pPr>
        <w:autoSpaceDE w:val="0"/>
        <w:autoSpaceDN w:val="0"/>
        <w:adjustRightInd w:val="0"/>
        <w:spacing w:before="0" w:after="0"/>
        <w:ind w:firstLine="0"/>
        <w:jc w:val="both"/>
        <w:rPr>
          <w:color w:val="212529"/>
        </w:rPr>
      </w:pPr>
    </w:p>
    <w:p w:rsidR="00B10952" w:rsidRDefault="00864A1B" w:rsidP="00B2586A">
      <w:pPr>
        <w:autoSpaceDE w:val="0"/>
        <w:autoSpaceDN w:val="0"/>
        <w:adjustRightInd w:val="0"/>
        <w:spacing w:before="0" w:after="0"/>
        <w:ind w:firstLine="0"/>
        <w:jc w:val="both"/>
        <w:rPr>
          <w:color w:val="212529"/>
        </w:rPr>
      </w:pPr>
      <w:bookmarkStart w:id="0" w:name="_GoBack"/>
      <w:bookmarkEnd w:id="0"/>
      <w:r>
        <w:rPr>
          <w:color w:val="212529"/>
        </w:rPr>
        <w:t xml:space="preserve">The Court further found </w:t>
      </w:r>
      <w:r w:rsidR="00E53076">
        <w:rPr>
          <w:color w:val="212529"/>
        </w:rPr>
        <w:t xml:space="preserve">that </w:t>
      </w:r>
      <w:r w:rsidR="00B7767B">
        <w:rPr>
          <w:color w:val="212529"/>
        </w:rPr>
        <w:t xml:space="preserve">after </w:t>
      </w:r>
      <w:r w:rsidR="00E53076">
        <w:rPr>
          <w:color w:val="212529"/>
        </w:rPr>
        <w:t xml:space="preserve">for </w:t>
      </w:r>
      <w:r w:rsidR="00E53076">
        <w:rPr>
          <w:color w:val="212529"/>
        </w:rPr>
        <w:t xml:space="preserve">more than two years </w:t>
      </w:r>
      <w:r w:rsidR="00B7767B">
        <w:rPr>
          <w:color w:val="212529"/>
        </w:rPr>
        <w:t xml:space="preserve">of occupying the office of trustee, Anita </w:t>
      </w:r>
      <w:r>
        <w:rPr>
          <w:color w:val="212529"/>
        </w:rPr>
        <w:t xml:space="preserve">Brunsting </w:t>
      </w:r>
      <w:r w:rsidR="00B7767B">
        <w:rPr>
          <w:color w:val="212529"/>
        </w:rPr>
        <w:t xml:space="preserve">had failed to establish books and records of accounts, </w:t>
      </w:r>
      <w:r>
        <w:rPr>
          <w:color w:val="212529"/>
        </w:rPr>
        <w:t xml:space="preserve">and </w:t>
      </w:r>
      <w:r w:rsidR="00B7767B">
        <w:rPr>
          <w:color w:val="212529"/>
        </w:rPr>
        <w:t>failed to provide a required accounting</w:t>
      </w:r>
      <w:r w:rsidR="000E4D5E">
        <w:rPr>
          <w:color w:val="212529"/>
        </w:rPr>
        <w:t>. T</w:t>
      </w:r>
      <w:r>
        <w:rPr>
          <w:color w:val="212529"/>
        </w:rPr>
        <w:t xml:space="preserve">he Court </w:t>
      </w:r>
      <w:r w:rsidR="00B7767B">
        <w:rPr>
          <w:color w:val="212529"/>
        </w:rPr>
        <w:t>enjoined Defendants from wasting the estate</w:t>
      </w:r>
      <w:r w:rsidR="000E4D5E">
        <w:rPr>
          <w:color w:val="212529"/>
        </w:rPr>
        <w:t xml:space="preserve"> </w:t>
      </w:r>
      <w:r>
        <w:rPr>
          <w:color w:val="212529"/>
        </w:rPr>
        <w:t xml:space="preserve">and appointed </w:t>
      </w:r>
      <w:r w:rsidR="00B7767B">
        <w:rPr>
          <w:color w:val="212529"/>
        </w:rPr>
        <w:t xml:space="preserve">a Special Master to </w:t>
      </w:r>
      <w:r w:rsidR="00B7767B">
        <w:rPr>
          <w:color w:val="212529"/>
        </w:rPr>
        <w:t xml:space="preserve">assemble books and records of accounts </w:t>
      </w:r>
      <w:r w:rsidR="000E4D5E">
        <w:rPr>
          <w:color w:val="212529"/>
        </w:rPr>
        <w:t>to</w:t>
      </w:r>
      <w:r w:rsidR="00B7767B">
        <w:rPr>
          <w:color w:val="212529"/>
        </w:rPr>
        <w:t xml:space="preserve"> </w:t>
      </w:r>
      <w:r w:rsidR="00B7767B">
        <w:rPr>
          <w:color w:val="212529"/>
        </w:rPr>
        <w:t xml:space="preserve">get a grip on the </w:t>
      </w:r>
      <w:r w:rsidR="00B7767B">
        <w:rPr>
          <w:color w:val="212529"/>
        </w:rPr>
        <w:t>trust</w:t>
      </w:r>
      <w:r w:rsidR="00B10952">
        <w:rPr>
          <w:color w:val="212529"/>
        </w:rPr>
        <w:t>’</w:t>
      </w:r>
      <w:r w:rsidR="00B7767B">
        <w:rPr>
          <w:color w:val="212529"/>
        </w:rPr>
        <w:t xml:space="preserve">s </w:t>
      </w:r>
      <w:r w:rsidR="00B7767B">
        <w:rPr>
          <w:color w:val="212529"/>
        </w:rPr>
        <w:t>assets</w:t>
      </w:r>
      <w:r w:rsidR="00B7767B">
        <w:rPr>
          <w:color w:val="212529"/>
        </w:rPr>
        <w:t xml:space="preserve">. </w:t>
      </w:r>
      <w:r w:rsidR="000E4D5E" w:rsidRPr="000E4D5E">
        <w:rPr>
          <w:color w:val="212529"/>
        </w:rPr>
        <w:t>The Court published the Order April 19, 2013</w:t>
      </w:r>
      <w:r w:rsidR="000E4D5E">
        <w:rPr>
          <w:color w:val="212529"/>
        </w:rPr>
        <w:t xml:space="preserve">. </w:t>
      </w:r>
    </w:p>
    <w:p w:rsidR="00B10952" w:rsidRPr="00C164D6" w:rsidRDefault="00B10952" w:rsidP="00B2586A">
      <w:pPr>
        <w:pStyle w:val="Quote"/>
        <w:jc w:val="both"/>
        <w:rPr>
          <w:rFonts w:eastAsia="Times New Roman"/>
        </w:rPr>
      </w:pPr>
      <w:r w:rsidRPr="00C164D6">
        <w:t xml:space="preserve">[T]he burden of proof at the preliminary injunction phase tracks the burden of proof at </w:t>
      </w:r>
      <w:r w:rsidR="00864A1B" w:rsidRPr="00C164D6">
        <w:t>trial.</w:t>
      </w:r>
      <w:r w:rsidR="00864A1B">
        <w:rPr>
          <w:rStyle w:val="FootnoteReference"/>
        </w:rPr>
        <w:footnoteReference w:id="3"/>
      </w:r>
      <w:r w:rsidR="00864A1B">
        <w:t xml:space="preserve"> </w:t>
      </w:r>
      <w:r w:rsidRPr="00C164D6">
        <w:rPr>
          <w:rFonts w:eastAsia="Times New Roman"/>
        </w:rPr>
        <w:t xml:space="preserve">The elements which a movant is required to prove for issuance of a preliminary injunction are (1) a substantial likelihood of success on the merits, (2) a substantial threat of irreparable harm if the injunction is not issued, (3) that the </w:t>
      </w:r>
      <w:r w:rsidRPr="00C164D6">
        <w:rPr>
          <w:rFonts w:eastAsia="Times New Roman"/>
        </w:rPr>
        <w:lastRenderedPageBreak/>
        <w:t>threatened harm exceeds any harm flowing from the injunction, and (4) that the injunction would serve the public interest.</w:t>
      </w:r>
      <w:r w:rsidR="00864A1B">
        <w:rPr>
          <w:rStyle w:val="FootnoteReference"/>
          <w:rFonts w:eastAsia="Times New Roman"/>
        </w:rPr>
        <w:footnoteReference w:id="4"/>
      </w:r>
    </w:p>
    <w:p w:rsidR="00B10952" w:rsidRDefault="00864A1B" w:rsidP="00B2586A">
      <w:pPr>
        <w:jc w:val="both"/>
      </w:pPr>
      <w:r>
        <w:t xml:space="preserve">The preliminary injunction, now registered with this Court, </w:t>
      </w:r>
      <w:r w:rsidRPr="00864A1B">
        <w:t>not only enjoined Defendants from wasting the estate but commanded t</w:t>
      </w:r>
      <w:r>
        <w:t>hem to</w:t>
      </w:r>
      <w:r w:rsidRPr="00864A1B">
        <w:t xml:space="preserve"> deposit trust income into an appropriate account for the beneficiary.</w:t>
      </w:r>
      <w:r>
        <w:t xml:space="preserve"> </w:t>
      </w:r>
      <w:r w:rsidRPr="00864A1B">
        <w:t xml:space="preserve">Defendants </w:t>
      </w:r>
      <w:r>
        <w:t>have steadfastly refused to do so.</w:t>
      </w:r>
    </w:p>
    <w:p w:rsidR="00467562" w:rsidRDefault="00467562" w:rsidP="00B2586A">
      <w:pPr>
        <w:ind w:firstLine="0"/>
        <w:jc w:val="both"/>
      </w:pPr>
    </w:p>
    <w:p w:rsidR="000274A5" w:rsidRDefault="00FF5346" w:rsidP="00B2586A">
      <w:pPr>
        <w:autoSpaceDE w:val="0"/>
        <w:autoSpaceDN w:val="0"/>
        <w:adjustRightInd w:val="0"/>
        <w:spacing w:before="0" w:after="0"/>
        <w:jc w:val="both"/>
        <w:rPr>
          <w:color w:val="212529"/>
        </w:rPr>
      </w:pPr>
      <w:r w:rsidRPr="00FF5346">
        <w:rPr>
          <w:color w:val="212529"/>
        </w:rPr>
        <w:t>For eight years Defendants have assumed the position that they are co-trustees and for eight continuous years Defendants have refused and otherwise failed to perform a single affirmative duty for the benefit of the other beneficiaries. Defendant</w:t>
      </w:r>
      <w:r>
        <w:rPr>
          <w:color w:val="212529"/>
        </w:rPr>
        <w:t>s,</w:t>
      </w:r>
      <w:r w:rsidRPr="00FF5346">
        <w:rPr>
          <w:color w:val="212529"/>
        </w:rPr>
        <w:t xml:space="preserve"> judgment debtors</w:t>
      </w:r>
      <w:r>
        <w:rPr>
          <w:color w:val="212529"/>
        </w:rPr>
        <w:t>, are in perpetual contempt of the foreign Court Orders, are in perpetual breach of trust</w:t>
      </w:r>
      <w:r w:rsidR="00152CF0">
        <w:rPr>
          <w:color w:val="212529"/>
        </w:rPr>
        <w:t>, have acted maliciously</w:t>
      </w:r>
      <w:r w:rsidR="000274A5">
        <w:rPr>
          <w:color w:val="212529"/>
        </w:rPr>
        <w:t xml:space="preserve">, </w:t>
      </w:r>
      <w:r w:rsidR="00152CF0">
        <w:rPr>
          <w:color w:val="212529"/>
        </w:rPr>
        <w:t>in bad faith</w:t>
      </w:r>
      <w:r>
        <w:rPr>
          <w:color w:val="212529"/>
        </w:rPr>
        <w:t xml:space="preserve"> </w:t>
      </w:r>
      <w:r w:rsidR="000274A5">
        <w:rPr>
          <w:color w:val="212529"/>
        </w:rPr>
        <w:t xml:space="preserve">and with reckless indifference to the rights of the beneficiary.  </w:t>
      </w:r>
    </w:p>
    <w:p w:rsidR="000274A5" w:rsidRDefault="000274A5" w:rsidP="00B2586A">
      <w:pPr>
        <w:autoSpaceDE w:val="0"/>
        <w:autoSpaceDN w:val="0"/>
        <w:adjustRightInd w:val="0"/>
        <w:spacing w:before="0" w:after="0"/>
        <w:jc w:val="both"/>
        <w:rPr>
          <w:color w:val="212529"/>
        </w:rPr>
      </w:pPr>
    </w:p>
    <w:p w:rsidR="00B10952" w:rsidRDefault="000274A5" w:rsidP="00B2586A">
      <w:pPr>
        <w:autoSpaceDE w:val="0"/>
        <w:autoSpaceDN w:val="0"/>
        <w:adjustRightInd w:val="0"/>
        <w:spacing w:before="0" w:after="0"/>
        <w:jc w:val="both"/>
        <w:rPr>
          <w:color w:val="212529"/>
        </w:rPr>
      </w:pPr>
      <w:r>
        <w:rPr>
          <w:color w:val="212529"/>
        </w:rPr>
        <w:t xml:space="preserve">In view of the </w:t>
      </w:r>
      <w:r>
        <w:t xml:space="preserve">trustee/beneficiary </w:t>
      </w:r>
      <w:r w:rsidR="00152CF0">
        <w:t xml:space="preserve">complete failure to </w:t>
      </w:r>
      <w:r>
        <w:t xml:space="preserve">affirmatively provide a benefit to the other beneficiaries, even when commanded by a preliminary injunction issued by a federal court, debtors </w:t>
      </w:r>
      <w:r w:rsidR="00FF5346" w:rsidRPr="00FF5346">
        <w:rPr>
          <w:color w:val="212529"/>
        </w:rPr>
        <w:t xml:space="preserve">have </w:t>
      </w:r>
      <w:r w:rsidR="00FF5346" w:rsidRPr="00FF5346">
        <w:t xml:space="preserve">established </w:t>
      </w:r>
      <w:r w:rsidR="00152CF0">
        <w:t xml:space="preserve">by </w:t>
      </w:r>
      <w:r w:rsidR="00FF5346" w:rsidRPr="00FF5346">
        <w:t>policy</w:t>
      </w:r>
      <w:r w:rsidR="00152CF0">
        <w:t xml:space="preserve">, </w:t>
      </w:r>
      <w:r w:rsidR="00FF5346" w:rsidRPr="00FF5346">
        <w:t>practice and the passage of time</w:t>
      </w:r>
      <w:r>
        <w:t>,</w:t>
      </w:r>
      <w:r w:rsidR="00FF5346">
        <w:t xml:space="preserve"> the existence of </w:t>
      </w:r>
      <w:r w:rsidR="00FF5346" w:rsidRPr="00FF5346">
        <w:t>a passive trust</w:t>
      </w:r>
      <w:r w:rsidR="00467562">
        <w:t>.</w:t>
      </w:r>
      <w:r w:rsidR="00152CF0">
        <w:rPr>
          <w:rStyle w:val="FootnoteReference"/>
        </w:rPr>
        <w:footnoteReference w:id="5"/>
      </w:r>
      <w:r w:rsidR="00467562">
        <w:t xml:space="preserve"> I</w:t>
      </w:r>
      <w:r w:rsidR="00FF5346" w:rsidRPr="00FF5346">
        <w:rPr>
          <w:color w:val="212529"/>
        </w:rPr>
        <w:t>f an express trust becomes dry or passive</w:t>
      </w:r>
      <w:r w:rsidR="00467562" w:rsidRPr="00467562">
        <w:rPr>
          <w:color w:val="212529"/>
        </w:rPr>
        <w:t xml:space="preserve"> </w:t>
      </w:r>
      <w:r w:rsidR="00467562">
        <w:rPr>
          <w:color w:val="212529"/>
        </w:rPr>
        <w:t>t</w:t>
      </w:r>
      <w:r w:rsidR="00467562" w:rsidRPr="00FF5346">
        <w:rPr>
          <w:color w:val="212529"/>
        </w:rPr>
        <w:t>itle to trust property vests immediately in the beneficiaries</w:t>
      </w:r>
      <w:r w:rsidR="00FF5346" w:rsidRPr="00FF5346">
        <w:rPr>
          <w:color w:val="212529"/>
        </w:rPr>
        <w:t>.</w:t>
      </w:r>
      <w:r w:rsidR="00467562">
        <w:rPr>
          <w:rStyle w:val="FootnoteReference"/>
          <w:color w:val="212529"/>
        </w:rPr>
        <w:footnoteReference w:id="6"/>
      </w:r>
      <w:r w:rsidR="00467562">
        <w:rPr>
          <w:color w:val="212529"/>
        </w:rPr>
        <w:t xml:space="preserve"> </w:t>
      </w:r>
      <w:r w:rsidRPr="00B8743D">
        <w:t>A trustee of a dry or passive trust has no power to convey the trust property without the direction and consent of the beneficiary.</w:t>
      </w:r>
      <w:r>
        <w:rPr>
          <w:rStyle w:val="FootnoteReference"/>
        </w:rPr>
        <w:footnoteReference w:id="7"/>
      </w:r>
      <w:r w:rsidRPr="00B8743D">
        <w:t xml:space="preserve"> </w:t>
      </w:r>
      <w:r w:rsidRPr="000274A5">
        <w:t>The trustee of a passive trust "generally is responsible only for conveying the property to the beneficiary or in accordance with his directions.</w:t>
      </w:r>
      <w:r>
        <w:rPr>
          <w:rStyle w:val="FootnoteReference"/>
        </w:rPr>
        <w:footnoteReference w:id="8"/>
      </w:r>
    </w:p>
    <w:p w:rsidR="00B10952" w:rsidRDefault="00B10952" w:rsidP="00BB22E2">
      <w:pPr>
        <w:autoSpaceDE w:val="0"/>
        <w:autoSpaceDN w:val="0"/>
        <w:adjustRightInd w:val="0"/>
        <w:spacing w:before="0" w:after="0"/>
        <w:ind w:firstLine="0"/>
        <w:rPr>
          <w:color w:val="212529"/>
        </w:rPr>
      </w:pPr>
    </w:p>
    <w:p w:rsidR="00B10952" w:rsidRDefault="00B10952" w:rsidP="00BB22E2">
      <w:pPr>
        <w:autoSpaceDE w:val="0"/>
        <w:autoSpaceDN w:val="0"/>
        <w:adjustRightInd w:val="0"/>
        <w:spacing w:before="0" w:after="0"/>
        <w:ind w:firstLine="0"/>
        <w:rPr>
          <w:color w:val="212529"/>
        </w:rPr>
      </w:pPr>
    </w:p>
    <w:p w:rsidR="00B10952" w:rsidRDefault="00B10952" w:rsidP="00BB22E2">
      <w:pPr>
        <w:autoSpaceDE w:val="0"/>
        <w:autoSpaceDN w:val="0"/>
        <w:adjustRightInd w:val="0"/>
        <w:spacing w:before="0" w:after="0"/>
        <w:ind w:firstLine="0"/>
        <w:rPr>
          <w:color w:val="212529"/>
        </w:rPr>
      </w:pPr>
    </w:p>
    <w:p w:rsidR="00B10952" w:rsidRDefault="00B10952" w:rsidP="00BB22E2">
      <w:pPr>
        <w:autoSpaceDE w:val="0"/>
        <w:autoSpaceDN w:val="0"/>
        <w:adjustRightInd w:val="0"/>
        <w:spacing w:before="0" w:after="0"/>
        <w:ind w:firstLine="0"/>
        <w:rPr>
          <w:color w:val="212529"/>
        </w:rPr>
      </w:pPr>
    </w:p>
    <w:p w:rsidR="00B10952" w:rsidRDefault="00B10952" w:rsidP="00BB22E2">
      <w:pPr>
        <w:autoSpaceDE w:val="0"/>
        <w:autoSpaceDN w:val="0"/>
        <w:adjustRightInd w:val="0"/>
        <w:spacing w:before="0" w:after="0"/>
        <w:ind w:firstLine="0"/>
        <w:rPr>
          <w:color w:val="212529"/>
        </w:rPr>
      </w:pPr>
    </w:p>
    <w:p w:rsidR="00B10952" w:rsidRDefault="00B10952" w:rsidP="00BB22E2">
      <w:pPr>
        <w:autoSpaceDE w:val="0"/>
        <w:autoSpaceDN w:val="0"/>
        <w:adjustRightInd w:val="0"/>
        <w:spacing w:before="0" w:after="0"/>
        <w:ind w:firstLine="0"/>
        <w:rPr>
          <w:color w:val="212529"/>
        </w:rPr>
      </w:pPr>
    </w:p>
    <w:p w:rsidR="00B7767B" w:rsidRDefault="00B7767B" w:rsidP="00BB22E2">
      <w:pPr>
        <w:autoSpaceDE w:val="0"/>
        <w:autoSpaceDN w:val="0"/>
        <w:adjustRightInd w:val="0"/>
        <w:spacing w:before="0" w:after="0"/>
        <w:ind w:firstLine="0"/>
        <w:rPr>
          <w:color w:val="212529"/>
        </w:rPr>
      </w:pPr>
    </w:p>
    <w:p w:rsidR="00264949" w:rsidRDefault="00264949" w:rsidP="00264949">
      <w:r>
        <w:t>Case 4:12-</w:t>
      </w:r>
      <w:proofErr w:type="gramStart"/>
      <w:r>
        <w:t>cv-</w:t>
      </w:r>
      <w:proofErr w:type="gramEnd"/>
      <w:r>
        <w:t>00592 Document 45 Filed in TXSD on 04/19/13 Page 5 of 5</w:t>
      </w:r>
    </w:p>
    <w:p w:rsidR="00264949" w:rsidRDefault="00B7767B" w:rsidP="00264949">
      <w:pPr>
        <w:pStyle w:val="Quote"/>
      </w:pPr>
      <w:r>
        <w:t>“</w:t>
      </w:r>
      <w:r w:rsidR="00264949">
        <w:t>In light of what appears to be irregularities in the documents and the failure of the Trustee to act in accordance with the duties required by the Trust, the Court ENJOINS the Trustee(s) and all assigns from disbursing any funds from any Trust accounts without prior permission of the Court. However, any income received for the benefit of the Trust beneficiary is to be deposited appropriately in an account. However, the Trustee shall not borrow funds, engage in new business ventures, or sell real property or other assets without the prior approval of the Court. In essence, all transactions of a financial nature shall require pre-approval of the Court, pending a resolution of disputes between the parties in this case.</w:t>
      </w:r>
      <w:r>
        <w:t>”</w:t>
      </w:r>
    </w:p>
    <w:p w:rsidR="00264949" w:rsidRDefault="00264949" w:rsidP="00BB22E2">
      <w:pPr>
        <w:autoSpaceDE w:val="0"/>
        <w:autoSpaceDN w:val="0"/>
        <w:adjustRightInd w:val="0"/>
        <w:spacing w:before="0" w:after="0"/>
        <w:ind w:firstLine="0"/>
        <w:rPr>
          <w:color w:val="212529"/>
        </w:rPr>
      </w:pPr>
    </w:p>
    <w:p w:rsidR="00264949" w:rsidRDefault="00264949" w:rsidP="00BB22E2">
      <w:pPr>
        <w:autoSpaceDE w:val="0"/>
        <w:autoSpaceDN w:val="0"/>
        <w:adjustRightInd w:val="0"/>
        <w:spacing w:before="0" w:after="0"/>
        <w:ind w:firstLine="0"/>
        <w:rPr>
          <w:color w:val="212529"/>
        </w:rPr>
      </w:pPr>
    </w:p>
    <w:p w:rsidR="00264949" w:rsidRDefault="00264949" w:rsidP="00BB22E2">
      <w:pPr>
        <w:autoSpaceDE w:val="0"/>
        <w:autoSpaceDN w:val="0"/>
        <w:adjustRightInd w:val="0"/>
        <w:spacing w:before="0" w:after="0"/>
        <w:ind w:firstLine="0"/>
        <w:rPr>
          <w:color w:val="212529"/>
        </w:rPr>
      </w:pPr>
    </w:p>
    <w:p w:rsidR="00264949" w:rsidRDefault="00264949" w:rsidP="00BB22E2">
      <w:pPr>
        <w:autoSpaceDE w:val="0"/>
        <w:autoSpaceDN w:val="0"/>
        <w:adjustRightInd w:val="0"/>
        <w:spacing w:before="0" w:after="0"/>
        <w:ind w:firstLine="0"/>
        <w:rPr>
          <w:color w:val="212529"/>
        </w:rPr>
      </w:pPr>
    </w:p>
    <w:p w:rsidR="00264949" w:rsidRDefault="00264949" w:rsidP="00BB22E2">
      <w:pPr>
        <w:autoSpaceDE w:val="0"/>
        <w:autoSpaceDN w:val="0"/>
        <w:adjustRightInd w:val="0"/>
        <w:spacing w:before="0" w:after="0"/>
        <w:ind w:firstLine="0"/>
        <w:rPr>
          <w:color w:val="212529"/>
        </w:rPr>
      </w:pPr>
    </w:p>
    <w:p w:rsidR="00264949" w:rsidRDefault="00264949" w:rsidP="00BB22E2">
      <w:pPr>
        <w:autoSpaceDE w:val="0"/>
        <w:autoSpaceDN w:val="0"/>
        <w:adjustRightInd w:val="0"/>
        <w:spacing w:before="0" w:after="0"/>
        <w:ind w:firstLine="0"/>
        <w:rPr>
          <w:color w:val="212529"/>
        </w:rPr>
      </w:pPr>
    </w:p>
    <w:p w:rsidR="00264949" w:rsidRDefault="00264949" w:rsidP="00BB22E2">
      <w:pPr>
        <w:autoSpaceDE w:val="0"/>
        <w:autoSpaceDN w:val="0"/>
        <w:adjustRightInd w:val="0"/>
        <w:spacing w:before="0" w:after="0"/>
        <w:ind w:firstLine="0"/>
        <w:rPr>
          <w:color w:val="212529"/>
        </w:rPr>
      </w:pPr>
    </w:p>
    <w:p w:rsidR="00264949" w:rsidRDefault="00264949" w:rsidP="00BB22E2">
      <w:pPr>
        <w:autoSpaceDE w:val="0"/>
        <w:autoSpaceDN w:val="0"/>
        <w:adjustRightInd w:val="0"/>
        <w:spacing w:before="0" w:after="0"/>
        <w:ind w:firstLine="0"/>
        <w:rPr>
          <w:color w:val="212529"/>
        </w:rPr>
      </w:pPr>
    </w:p>
    <w:p w:rsidR="00264949" w:rsidRPr="00264949" w:rsidRDefault="00264949" w:rsidP="00BB22E2">
      <w:pPr>
        <w:autoSpaceDE w:val="0"/>
        <w:autoSpaceDN w:val="0"/>
        <w:adjustRightInd w:val="0"/>
        <w:spacing w:before="0" w:after="0"/>
        <w:ind w:firstLine="0"/>
        <w:rPr>
          <w:color w:val="212529"/>
        </w:rPr>
      </w:pPr>
    </w:p>
    <w:p w:rsidR="00264949" w:rsidRPr="00264949" w:rsidRDefault="00264949" w:rsidP="00BB22E2">
      <w:pPr>
        <w:autoSpaceDE w:val="0"/>
        <w:autoSpaceDN w:val="0"/>
        <w:adjustRightInd w:val="0"/>
        <w:spacing w:before="0" w:after="0"/>
        <w:ind w:firstLine="0"/>
        <w:rPr>
          <w:color w:val="212529"/>
        </w:rPr>
      </w:pPr>
    </w:p>
    <w:p w:rsidR="00AF19A7" w:rsidRPr="00264949" w:rsidRDefault="00BB22E2" w:rsidP="00BB22E2">
      <w:pPr>
        <w:autoSpaceDE w:val="0"/>
        <w:autoSpaceDN w:val="0"/>
        <w:adjustRightInd w:val="0"/>
        <w:spacing w:before="0" w:after="0"/>
        <w:ind w:firstLine="0"/>
        <w:rPr>
          <w:color w:val="212529"/>
        </w:rPr>
      </w:pPr>
      <w:r w:rsidRPr="00264949">
        <w:rPr>
          <w:color w:val="212529"/>
        </w:rPr>
        <w:t xml:space="preserve"> </w:t>
      </w:r>
      <w:proofErr w:type="gramStart"/>
      <w:r w:rsidRPr="00264949">
        <w:rPr>
          <w:color w:val="212529"/>
        </w:rPr>
        <w:t>in</w:t>
      </w:r>
      <w:proofErr w:type="gramEnd"/>
      <w:r w:rsidRPr="00264949">
        <w:rPr>
          <w:color w:val="212529"/>
        </w:rPr>
        <w:t xml:space="preserve"> name only, that the trust was a</w:t>
      </w:r>
      <w:r w:rsidRPr="00264949">
        <w:rPr>
          <w:color w:val="212529"/>
        </w:rPr>
        <w:t xml:space="preserve"> </w:t>
      </w:r>
      <w:r w:rsidRPr="00264949">
        <w:rPr>
          <w:color w:val="212529"/>
        </w:rPr>
        <w:t>passive trust and that there was no evidence or</w:t>
      </w:r>
      <w:r w:rsidRPr="00264949">
        <w:rPr>
          <w:color w:val="212529"/>
        </w:rPr>
        <w:t xml:space="preserve"> </w:t>
      </w:r>
      <w:r w:rsidRPr="00264949">
        <w:rPr>
          <w:color w:val="212529"/>
        </w:rPr>
        <w:t>insufficient evidence to show that she had any</w:t>
      </w:r>
      <w:r w:rsidRPr="00264949">
        <w:rPr>
          <w:color w:val="212529"/>
        </w:rPr>
        <w:t xml:space="preserve"> </w:t>
      </w:r>
      <w:r w:rsidRPr="00264949">
        <w:rPr>
          <w:color w:val="212529"/>
        </w:rPr>
        <w:t>duties or responsibilities in connection with such</w:t>
      </w:r>
      <w:r w:rsidRPr="00264949">
        <w:rPr>
          <w:color w:val="212529"/>
        </w:rPr>
        <w:t xml:space="preserve"> </w:t>
      </w:r>
      <w:r w:rsidRPr="00264949">
        <w:rPr>
          <w:color w:val="212529"/>
        </w:rPr>
        <w:t>trust.</w:t>
      </w:r>
    </w:p>
    <w:p w:rsidR="00BB22E2" w:rsidRPr="00264949" w:rsidRDefault="00BB22E2" w:rsidP="00BB22E2">
      <w:pPr>
        <w:autoSpaceDE w:val="0"/>
        <w:autoSpaceDN w:val="0"/>
        <w:adjustRightInd w:val="0"/>
        <w:spacing w:before="0" w:after="0"/>
        <w:ind w:firstLine="0"/>
        <w:rPr>
          <w:color w:val="212529"/>
        </w:rPr>
      </w:pPr>
    </w:p>
    <w:p w:rsidR="00BB22E2" w:rsidRDefault="00264949" w:rsidP="00BB22E2">
      <w:pPr>
        <w:autoSpaceDE w:val="0"/>
        <w:autoSpaceDN w:val="0"/>
        <w:adjustRightInd w:val="0"/>
        <w:spacing w:before="0" w:after="0"/>
        <w:ind w:firstLine="0"/>
      </w:pPr>
      <w:r>
        <w:t xml:space="preserve">Passing of time has made Defendants claims to be </w:t>
      </w:r>
      <w:proofErr w:type="spellStart"/>
      <w:r>
        <w:t>cotrustees</w:t>
      </w:r>
      <w:proofErr w:type="spellEnd"/>
      <w:r>
        <w:t xml:space="preserve"> moot. </w:t>
      </w:r>
    </w:p>
    <w:sectPr w:rsidR="00BB2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AB" w:rsidRDefault="008A1BAB" w:rsidP="00296AF2">
      <w:pPr>
        <w:spacing w:before="0" w:after="0"/>
      </w:pPr>
      <w:r>
        <w:separator/>
      </w:r>
    </w:p>
  </w:endnote>
  <w:endnote w:type="continuationSeparator" w:id="0">
    <w:p w:rsidR="008A1BAB" w:rsidRDefault="008A1BAB" w:rsidP="00296A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AB" w:rsidRDefault="008A1BAB" w:rsidP="00296AF2">
      <w:pPr>
        <w:spacing w:before="0" w:after="0"/>
      </w:pPr>
      <w:r>
        <w:separator/>
      </w:r>
    </w:p>
  </w:footnote>
  <w:footnote w:type="continuationSeparator" w:id="0">
    <w:p w:rsidR="008A1BAB" w:rsidRDefault="008A1BAB" w:rsidP="00296AF2">
      <w:pPr>
        <w:spacing w:before="0" w:after="0"/>
      </w:pPr>
      <w:r>
        <w:continuationSeparator/>
      </w:r>
    </w:p>
  </w:footnote>
  <w:footnote w:id="1">
    <w:p w:rsidR="000E4D5E" w:rsidRDefault="000E4D5E" w:rsidP="000E4D5E">
      <w:pPr>
        <w:pStyle w:val="FootnoteText"/>
        <w:ind w:firstLine="0"/>
      </w:pPr>
      <w:r>
        <w:rPr>
          <w:rStyle w:val="FootnoteReference"/>
        </w:rPr>
        <w:footnoteRef/>
      </w:r>
      <w:r>
        <w:t xml:space="preserve"> </w:t>
      </w:r>
      <w:r w:rsidRPr="00F240F3">
        <w:t xml:space="preserve">Case 4:12-cv-00592 Document </w:t>
      </w:r>
      <w:r>
        <w:t>1</w:t>
      </w:r>
      <w:r w:rsidRPr="00F240F3">
        <w:t>Filed in TXSD on 0</w:t>
      </w:r>
      <w:r>
        <w:t>2</w:t>
      </w:r>
      <w:r w:rsidRPr="00F240F3">
        <w:t>/</w:t>
      </w:r>
      <w:r>
        <w:t>27</w:t>
      </w:r>
      <w:r w:rsidRPr="00F240F3">
        <w:t>/1</w:t>
      </w:r>
      <w:r>
        <w:t>2</w:t>
      </w:r>
    </w:p>
  </w:footnote>
  <w:footnote w:id="2">
    <w:p w:rsidR="00296AF2" w:rsidRDefault="00296AF2" w:rsidP="00296AF2">
      <w:pPr>
        <w:pStyle w:val="FootnoteText"/>
        <w:ind w:firstLine="0"/>
      </w:pPr>
      <w:r>
        <w:rPr>
          <w:rStyle w:val="FootnoteReference"/>
        </w:rPr>
        <w:footnoteRef/>
      </w:r>
      <w:r>
        <w:t xml:space="preserve"> </w:t>
      </w:r>
      <w:r w:rsidRPr="00296AF2">
        <w:t xml:space="preserve">Jones v. </w:t>
      </w:r>
      <w:proofErr w:type="spellStart"/>
      <w:proofErr w:type="gramStart"/>
      <w:r w:rsidRPr="00296AF2">
        <w:t>Blume</w:t>
      </w:r>
      <w:proofErr w:type="spellEnd"/>
      <w:r w:rsidRPr="00296AF2">
        <w:t xml:space="preserve"> ,</w:t>
      </w:r>
      <w:proofErr w:type="gramEnd"/>
      <w:r w:rsidRPr="00296AF2">
        <w:t xml:space="preserve"> 196 S.W.3d 440, 447 (Tex. App.—Dallas 2006, pet. denied); see also Navigant Consulting, Inc. v. Wilkinson , 508 F.3d 277, 283 (5th Cir. 2007) (reciting the same elements).</w:t>
      </w:r>
    </w:p>
  </w:footnote>
  <w:footnote w:id="3">
    <w:p w:rsidR="00864A1B" w:rsidRDefault="00864A1B" w:rsidP="00864A1B">
      <w:pPr>
        <w:pStyle w:val="FootnoteText"/>
        <w:ind w:firstLine="0"/>
      </w:pPr>
      <w:r>
        <w:rPr>
          <w:rStyle w:val="FootnoteReference"/>
        </w:rPr>
        <w:footnoteRef/>
      </w:r>
      <w:r>
        <w:t xml:space="preserve"> </w:t>
      </w:r>
      <w:proofErr w:type="spellStart"/>
      <w:r w:rsidRPr="00864A1B">
        <w:t>Thalheimer</w:t>
      </w:r>
      <w:proofErr w:type="spellEnd"/>
      <w:r w:rsidRPr="00864A1B">
        <w:t xml:space="preserve"> v. City of San Diego , 645 F.3d 1109, 1116 (9th Cir. 2011)</w:t>
      </w:r>
    </w:p>
  </w:footnote>
  <w:footnote w:id="4">
    <w:p w:rsidR="00864A1B" w:rsidRDefault="00864A1B" w:rsidP="00864A1B">
      <w:pPr>
        <w:pStyle w:val="FootnoteText"/>
        <w:ind w:firstLine="0"/>
      </w:pPr>
      <w:r>
        <w:rPr>
          <w:rStyle w:val="FootnoteReference"/>
        </w:rPr>
        <w:footnoteRef/>
      </w:r>
      <w:r>
        <w:t xml:space="preserve"> </w:t>
      </w:r>
      <w:r w:rsidRPr="00864A1B">
        <w:t xml:space="preserve">Landmark Land Co., Inc. v. Office of Thrift Supervision, 990 F.2d 807 (5th Cir. 1993); </w:t>
      </w:r>
      <w:proofErr w:type="spellStart"/>
      <w:r w:rsidRPr="00864A1B">
        <w:t>Tesfamichael</w:t>
      </w:r>
      <w:proofErr w:type="spellEnd"/>
      <w:r w:rsidRPr="00864A1B">
        <w:t xml:space="preserve"> v. Gonzales,</w:t>
      </w:r>
      <w:r>
        <w:t xml:space="preserve"> 411 F.3d 169 (5th Cir. 2005), </w:t>
      </w:r>
      <w:r w:rsidRPr="00864A1B">
        <w:t xml:space="preserve">In re Hardaway, CASE NO: 06-20691, ADVERSARY NO. </w:t>
      </w:r>
      <w:proofErr w:type="gramStart"/>
      <w:r w:rsidRPr="00864A1B">
        <w:t>06-2084, at *2 (</w:t>
      </w:r>
      <w:proofErr w:type="spellStart"/>
      <w:r w:rsidRPr="00864A1B">
        <w:t>Bankr</w:t>
      </w:r>
      <w:proofErr w:type="spellEnd"/>
      <w:r w:rsidRPr="00864A1B">
        <w:t>.</w:t>
      </w:r>
      <w:proofErr w:type="gramEnd"/>
      <w:r w:rsidRPr="00864A1B">
        <w:t xml:space="preserve"> S.D. Tex. Mar. 1, 2007)</w:t>
      </w:r>
    </w:p>
  </w:footnote>
  <w:footnote w:id="5">
    <w:p w:rsidR="00152CF0" w:rsidRDefault="00152CF0" w:rsidP="00152CF0">
      <w:pPr>
        <w:pStyle w:val="FootnoteText"/>
        <w:ind w:firstLine="0"/>
      </w:pPr>
      <w:r>
        <w:rPr>
          <w:rStyle w:val="FootnoteReference"/>
        </w:rPr>
        <w:footnoteRef/>
      </w:r>
      <w:r>
        <w:t xml:space="preserve"> </w:t>
      </w:r>
      <w:r w:rsidRPr="00152CF0">
        <w:t xml:space="preserve">See Zahn v. Nat'l Bank of Commerce of </w:t>
      </w:r>
      <w:proofErr w:type="gramStart"/>
      <w:r w:rsidRPr="00152CF0">
        <w:t>Dallas ,</w:t>
      </w:r>
      <w:proofErr w:type="gramEnd"/>
      <w:r w:rsidRPr="00152CF0">
        <w:t xml:space="preserve"> 328 S.W.2d 783, 791 (Tex. Civ. App.–Dallas 1959, writ </w:t>
      </w:r>
      <w:proofErr w:type="spellStart"/>
      <w:r w:rsidRPr="00152CF0">
        <w:t>ref'd</w:t>
      </w:r>
      <w:proofErr w:type="spellEnd"/>
      <w:r w:rsidRPr="00152CF0">
        <w:t xml:space="preserve"> </w:t>
      </w:r>
      <w:proofErr w:type="spellStart"/>
      <w:r w:rsidRPr="00152CF0">
        <w:t>n.r.e</w:t>
      </w:r>
      <w:proofErr w:type="spellEnd"/>
      <w:r w:rsidRPr="00152CF0">
        <w:t xml:space="preserve">.) ; Griggs v. Jefferson Bank &amp; Trust Co. , 57 S.W.2d 390, 391 (Tex. Civ. App.–Texarkana 1933, writ </w:t>
      </w:r>
      <w:proofErr w:type="spellStart"/>
      <w:r w:rsidRPr="00152CF0">
        <w:t>dism'd</w:t>
      </w:r>
      <w:proofErr w:type="spellEnd"/>
      <w:r w:rsidRPr="00152CF0">
        <w:t>).</w:t>
      </w:r>
      <w:r w:rsidR="00467562" w:rsidRPr="00467562">
        <w:t xml:space="preserve"> King Henry’s Statute of Uses of 1535 is codified at Texas Property Code § 112.032. Obligations of the fiduciary must be legally enforceable by the Cestui </w:t>
      </w:r>
      <w:proofErr w:type="gramStart"/>
      <w:r w:rsidR="00467562" w:rsidRPr="00467562">
        <w:t>que</w:t>
      </w:r>
      <w:proofErr w:type="gramEnd"/>
      <w:r w:rsidR="00467562" w:rsidRPr="00467562">
        <w:t>.</w:t>
      </w:r>
    </w:p>
  </w:footnote>
  <w:footnote w:id="6">
    <w:p w:rsidR="00467562" w:rsidRDefault="00467562" w:rsidP="00467562">
      <w:pPr>
        <w:pStyle w:val="FootnoteText"/>
        <w:ind w:hanging="90"/>
      </w:pPr>
      <w:r>
        <w:rPr>
          <w:rStyle w:val="FootnoteReference"/>
        </w:rPr>
        <w:footnoteRef/>
      </w:r>
      <w:r>
        <w:t xml:space="preserve"> </w:t>
      </w:r>
      <w:r w:rsidR="000274A5" w:rsidRPr="000274A5">
        <w:t>In re Estate of Lee, 551 S.W.3d 802, 814 (Tex. App. 2018)</w:t>
      </w:r>
      <w:r w:rsidR="000274A5">
        <w:t>;</w:t>
      </w:r>
      <w:r w:rsidR="000274A5" w:rsidRPr="000274A5">
        <w:t xml:space="preserve"> </w:t>
      </w:r>
      <w:r w:rsidRPr="00467562">
        <w:t xml:space="preserve">Rife v. Kerr, 513 S.W.3d 601, 611-12 (Tex. App. 2016) (citing Moore v. City of Waco , 85 Tex. 206, 210, 20 S.W. 61, 62 (1892) ); </w:t>
      </w:r>
      <w:proofErr w:type="spellStart"/>
      <w:r w:rsidRPr="00467562">
        <w:t>Lanius</w:t>
      </w:r>
      <w:proofErr w:type="spellEnd"/>
      <w:r w:rsidRPr="00467562">
        <w:t xml:space="preserve"> v. Fletcher , 100 Tex. 550, 555, 101 S.W. 1076, 1078 (1907) ; Bohn v. Bohn , 420 S.W.2d 165, 172 (Tex. Civ. App.–Houston [1st Dist.] 1967, writ </w:t>
      </w:r>
      <w:proofErr w:type="spellStart"/>
      <w:r w:rsidRPr="00467562">
        <w:t>dism'd</w:t>
      </w:r>
      <w:proofErr w:type="spellEnd"/>
      <w:r w:rsidRPr="00467562">
        <w:t xml:space="preserve">). </w:t>
      </w:r>
    </w:p>
  </w:footnote>
  <w:footnote w:id="7">
    <w:p w:rsidR="000274A5" w:rsidRDefault="000274A5" w:rsidP="000274A5">
      <w:pPr>
        <w:pStyle w:val="FootnoteText"/>
        <w:ind w:firstLine="0"/>
      </w:pPr>
      <w:r>
        <w:rPr>
          <w:rStyle w:val="FootnoteReference"/>
        </w:rPr>
        <w:footnoteRef/>
      </w:r>
      <w:r>
        <w:t xml:space="preserve"> </w:t>
      </w:r>
      <w:r w:rsidRPr="000274A5">
        <w:t xml:space="preserve">See Humphries v. </w:t>
      </w:r>
      <w:proofErr w:type="gramStart"/>
      <w:r w:rsidRPr="000274A5">
        <w:t>Wiley ,</w:t>
      </w:r>
      <w:proofErr w:type="gramEnd"/>
      <w:r w:rsidRPr="000274A5">
        <w:t xml:space="preserve"> 76 S.W.2d 793, 797–98 (Tex. Civ. App.–Texarkana 1934, writ </w:t>
      </w:r>
      <w:proofErr w:type="spellStart"/>
      <w:r w:rsidRPr="000274A5">
        <w:t>dism'd</w:t>
      </w:r>
      <w:proofErr w:type="spellEnd"/>
      <w:r w:rsidRPr="000274A5">
        <w:t>) ; Paschal v. Evans , 30 S.W. 923, 924 (Tex. Civ. App. 1895, no writ).</w:t>
      </w:r>
    </w:p>
  </w:footnote>
  <w:footnote w:id="8">
    <w:p w:rsidR="000274A5" w:rsidRDefault="000274A5" w:rsidP="000274A5">
      <w:pPr>
        <w:pStyle w:val="FootnoteText"/>
        <w:ind w:firstLine="0"/>
      </w:pPr>
      <w:r>
        <w:rPr>
          <w:rStyle w:val="FootnoteReference"/>
        </w:rPr>
        <w:footnoteRef/>
      </w:r>
      <w:r>
        <w:t xml:space="preserve"> </w:t>
      </w:r>
      <w:proofErr w:type="spellStart"/>
      <w:r w:rsidRPr="000274A5">
        <w:t>Nolana</w:t>
      </w:r>
      <w:proofErr w:type="spellEnd"/>
      <w:r w:rsidRPr="000274A5">
        <w:t xml:space="preserve"> Development </w:t>
      </w:r>
      <w:proofErr w:type="spellStart"/>
      <w:r w:rsidRPr="000274A5">
        <w:t>Ass'n</w:t>
      </w:r>
      <w:proofErr w:type="spellEnd"/>
      <w:r w:rsidRPr="000274A5">
        <w:t xml:space="preserve"> v. </w:t>
      </w:r>
      <w:proofErr w:type="spellStart"/>
      <w:r w:rsidRPr="000274A5">
        <w:t>Corsi</w:t>
      </w:r>
      <w:proofErr w:type="spellEnd"/>
      <w:r w:rsidRPr="000274A5">
        <w:t>, 682 S.W.2d 246, 249 (Tex. 1984)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A7"/>
    <w:rsid w:val="000274A5"/>
    <w:rsid w:val="000E4D5E"/>
    <w:rsid w:val="000F738F"/>
    <w:rsid w:val="00152CF0"/>
    <w:rsid w:val="001D0B0A"/>
    <w:rsid w:val="001D6254"/>
    <w:rsid w:val="00237452"/>
    <w:rsid w:val="002637AC"/>
    <w:rsid w:val="00264949"/>
    <w:rsid w:val="00296AF2"/>
    <w:rsid w:val="003F4B40"/>
    <w:rsid w:val="00467562"/>
    <w:rsid w:val="005157AC"/>
    <w:rsid w:val="005E0485"/>
    <w:rsid w:val="00721920"/>
    <w:rsid w:val="007E420B"/>
    <w:rsid w:val="00864A1B"/>
    <w:rsid w:val="008A1BAB"/>
    <w:rsid w:val="00950776"/>
    <w:rsid w:val="009D75C0"/>
    <w:rsid w:val="00A17B47"/>
    <w:rsid w:val="00A237F9"/>
    <w:rsid w:val="00AB0B1E"/>
    <w:rsid w:val="00AC0531"/>
    <w:rsid w:val="00AF19A7"/>
    <w:rsid w:val="00B10952"/>
    <w:rsid w:val="00B2586A"/>
    <w:rsid w:val="00B64FE7"/>
    <w:rsid w:val="00B7767B"/>
    <w:rsid w:val="00BB22E2"/>
    <w:rsid w:val="00C42C11"/>
    <w:rsid w:val="00C67045"/>
    <w:rsid w:val="00D46417"/>
    <w:rsid w:val="00D653E0"/>
    <w:rsid w:val="00E53076"/>
    <w:rsid w:val="00F56168"/>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85"/>
    <w:pPr>
      <w:jc w:val="left"/>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1D0B0A"/>
    <w:pPr>
      <w:keepNext/>
      <w:keepLines/>
      <w:ind w:left="360" w:hanging="360"/>
      <w:outlineLvl w:val="0"/>
    </w:pPr>
    <w:rPr>
      <w:rFonts w:eastAsiaTheme="majorEastAsia"/>
      <w:sz w:val="32"/>
      <w:szCs w:val="32"/>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1D0B0A"/>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spacing w:before="120"/>
      <w:ind w:firstLine="0"/>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character" w:styleId="Hyperlink">
    <w:name w:val="Hyperlink"/>
    <w:basedOn w:val="DefaultParagraphFont"/>
    <w:uiPriority w:val="99"/>
    <w:unhideWhenUsed/>
    <w:rsid w:val="00B10952"/>
    <w:rPr>
      <w:color w:val="0000FF"/>
      <w:u w:val="single"/>
    </w:rPr>
  </w:style>
  <w:style w:type="paragraph" w:styleId="FootnoteText">
    <w:name w:val="footnote text"/>
    <w:basedOn w:val="Normal"/>
    <w:link w:val="FootnoteTextChar"/>
    <w:uiPriority w:val="99"/>
    <w:semiHidden/>
    <w:unhideWhenUsed/>
    <w:rsid w:val="00296AF2"/>
    <w:pPr>
      <w:spacing w:before="0" w:after="0"/>
    </w:pPr>
    <w:rPr>
      <w:sz w:val="20"/>
      <w:szCs w:val="20"/>
    </w:rPr>
  </w:style>
  <w:style w:type="character" w:customStyle="1" w:styleId="FootnoteTextChar">
    <w:name w:val="Footnote Text Char"/>
    <w:basedOn w:val="DefaultParagraphFont"/>
    <w:link w:val="FootnoteText"/>
    <w:uiPriority w:val="99"/>
    <w:semiHidden/>
    <w:rsid w:val="00296AF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96A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85"/>
    <w:pPr>
      <w:jc w:val="left"/>
    </w:pPr>
    <w:rPr>
      <w:rFonts w:ascii="Times New Roman" w:hAnsi="Times New Roman" w:cs="Times New Roman"/>
      <w:sz w:val="28"/>
      <w:szCs w:val="28"/>
    </w:rPr>
  </w:style>
  <w:style w:type="paragraph" w:styleId="Heading1">
    <w:name w:val="heading 1"/>
    <w:basedOn w:val="Normal"/>
    <w:next w:val="Normal"/>
    <w:link w:val="Heading1Char"/>
    <w:autoRedefine/>
    <w:uiPriority w:val="9"/>
    <w:qFormat/>
    <w:rsid w:val="001D0B0A"/>
    <w:pPr>
      <w:keepNext/>
      <w:keepLines/>
      <w:ind w:left="360" w:hanging="360"/>
      <w:outlineLvl w:val="0"/>
    </w:pPr>
    <w:rPr>
      <w:rFonts w:eastAsiaTheme="majorEastAsia"/>
      <w:sz w:val="32"/>
      <w:szCs w:val="32"/>
    </w:rPr>
  </w:style>
  <w:style w:type="paragraph" w:styleId="Heading2">
    <w:name w:val="heading 2"/>
    <w:basedOn w:val="Normal"/>
    <w:next w:val="Normal"/>
    <w:link w:val="Heading2Char"/>
    <w:autoRedefine/>
    <w:uiPriority w:val="9"/>
    <w:unhideWhenUsed/>
    <w:qFormat/>
    <w:rsid w:val="001D0B0A"/>
    <w:pPr>
      <w:ind w:left="360" w:hanging="360"/>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9D75C0"/>
    <w:pPr>
      <w:ind w:left="720" w:right="720"/>
    </w:pPr>
    <w:rPr>
      <w:i/>
      <w:iCs/>
      <w:color w:val="404040" w:themeColor="text1" w:themeTint="BF"/>
    </w:rPr>
  </w:style>
  <w:style w:type="character" w:customStyle="1" w:styleId="QuoteChar">
    <w:name w:val="Quote Char"/>
    <w:basedOn w:val="DefaultParagraphFont"/>
    <w:link w:val="Quote"/>
    <w:uiPriority w:val="29"/>
    <w:rsid w:val="009D75C0"/>
    <w:rPr>
      <w:rFonts w:ascii="Times New Roman" w:hAnsi="Times New Roman" w:cs="Times New Roman"/>
      <w:i/>
      <w:iCs/>
      <w:color w:val="404040" w:themeColor="text1" w:themeTint="BF"/>
      <w:sz w:val="28"/>
      <w:szCs w:val="28"/>
    </w:rPr>
  </w:style>
  <w:style w:type="character" w:customStyle="1" w:styleId="Heading1Char">
    <w:name w:val="Heading 1 Char"/>
    <w:basedOn w:val="DefaultParagraphFont"/>
    <w:link w:val="Heading1"/>
    <w:uiPriority w:val="9"/>
    <w:rsid w:val="001D0B0A"/>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1D0B0A"/>
    <w:rPr>
      <w:rFonts w:ascii="Times New Roman" w:hAnsi="Times New Roman"/>
      <w:b/>
      <w:sz w:val="28"/>
    </w:rPr>
  </w:style>
  <w:style w:type="paragraph" w:customStyle="1" w:styleId="NumPara1">
    <w:name w:val="Num Para 1"/>
    <w:basedOn w:val="ListParagraph"/>
    <w:link w:val="NumPara1Char"/>
    <w:autoRedefine/>
    <w:qFormat/>
    <w:rsid w:val="00C42C11"/>
    <w:pPr>
      <w:spacing w:before="120"/>
      <w:ind w:firstLine="0"/>
      <w:contextualSpacing w:val="0"/>
    </w:pPr>
  </w:style>
  <w:style w:type="character" w:customStyle="1" w:styleId="NumPara1Char">
    <w:name w:val="Num Para 1 Char"/>
    <w:basedOn w:val="DefaultParagraphFont"/>
    <w:link w:val="NumPara1"/>
    <w:rsid w:val="00C42C11"/>
    <w:rPr>
      <w:rFonts w:ascii="Times New Roman" w:hAnsi="Times New Roman" w:cs="Times New Roman"/>
      <w:sz w:val="28"/>
      <w:szCs w:val="28"/>
    </w:rPr>
  </w:style>
  <w:style w:type="paragraph" w:styleId="ListParagraph">
    <w:name w:val="List Paragraph"/>
    <w:basedOn w:val="Normal"/>
    <w:uiPriority w:val="34"/>
    <w:qFormat/>
    <w:rsid w:val="001D0B0A"/>
    <w:pPr>
      <w:contextualSpacing/>
    </w:pPr>
  </w:style>
  <w:style w:type="paragraph" w:customStyle="1" w:styleId="TOC">
    <w:name w:val="TOC"/>
    <w:basedOn w:val="TOCHeading"/>
    <w:link w:val="TOCChar"/>
    <w:autoRedefine/>
    <w:qFormat/>
    <w:rsid w:val="001D0B0A"/>
    <w:pPr>
      <w:spacing w:before="120" w:line="240" w:lineRule="auto"/>
      <w:ind w:left="360"/>
      <w:jc w:val="left"/>
    </w:pPr>
    <w:rPr>
      <w:rFonts w:ascii="Times New Roman" w:hAnsi="Times New Roman"/>
      <w:lang w:eastAsia="ja-JP"/>
    </w:rPr>
  </w:style>
  <w:style w:type="character" w:customStyle="1" w:styleId="TOCChar">
    <w:name w:val="TOC Char"/>
    <w:basedOn w:val="DefaultParagraphFont"/>
    <w:link w:val="TOC"/>
    <w:rsid w:val="001D0B0A"/>
    <w:rPr>
      <w:rFonts w:ascii="Times New Roman" w:eastAsiaTheme="majorEastAsia" w:hAnsi="Times New Roman" w:cstheme="majorBidi"/>
      <w:b/>
      <w:bCs/>
      <w:color w:val="2E74B5" w:themeColor="accent1" w:themeShade="BF"/>
      <w:sz w:val="28"/>
      <w:szCs w:val="28"/>
      <w:lang w:eastAsia="ja-JP"/>
    </w:rPr>
  </w:style>
  <w:style w:type="paragraph" w:styleId="TOCHeading">
    <w:name w:val="TOC Heading"/>
    <w:basedOn w:val="Heading1"/>
    <w:next w:val="Normal"/>
    <w:uiPriority w:val="39"/>
    <w:semiHidden/>
    <w:unhideWhenUsed/>
    <w:qFormat/>
    <w:rsid w:val="001D0B0A"/>
    <w:pPr>
      <w:spacing w:before="480" w:after="0" w:line="480" w:lineRule="auto"/>
      <w:ind w:left="0" w:firstLine="0"/>
      <w:jc w:val="both"/>
      <w:outlineLvl w:val="9"/>
    </w:pPr>
    <w:rPr>
      <w:rFonts w:asciiTheme="majorHAnsi" w:hAnsiTheme="majorHAnsi" w:cstheme="majorBidi"/>
      <w:b/>
      <w:bCs/>
      <w:color w:val="2E74B5" w:themeColor="accent1" w:themeShade="BF"/>
      <w:sz w:val="28"/>
      <w:szCs w:val="28"/>
    </w:rPr>
  </w:style>
  <w:style w:type="paragraph" w:styleId="TOC1">
    <w:name w:val="toc 1"/>
    <w:basedOn w:val="Normal"/>
    <w:next w:val="Normal"/>
    <w:autoRedefine/>
    <w:uiPriority w:val="39"/>
    <w:unhideWhenUsed/>
    <w:rsid w:val="00C67045"/>
    <w:pPr>
      <w:spacing w:before="360" w:after="0"/>
    </w:pPr>
    <w:rPr>
      <w:b/>
      <w:bCs/>
      <w:caps/>
      <w:szCs w:val="24"/>
    </w:rPr>
  </w:style>
  <w:style w:type="paragraph" w:styleId="NoSpacing">
    <w:name w:val="No Spacing"/>
    <w:uiPriority w:val="1"/>
    <w:qFormat/>
    <w:rsid w:val="005E0485"/>
    <w:pPr>
      <w:spacing w:before="0" w:after="0"/>
      <w:ind w:firstLine="0"/>
      <w:jc w:val="left"/>
    </w:pPr>
    <w:rPr>
      <w:rFonts w:ascii="Times New Roman" w:hAnsi="Times New Roman" w:cs="Times New Roman"/>
      <w:sz w:val="28"/>
      <w:szCs w:val="28"/>
    </w:rPr>
  </w:style>
  <w:style w:type="character" w:styleId="Hyperlink">
    <w:name w:val="Hyperlink"/>
    <w:basedOn w:val="DefaultParagraphFont"/>
    <w:uiPriority w:val="99"/>
    <w:unhideWhenUsed/>
    <w:rsid w:val="00B10952"/>
    <w:rPr>
      <w:color w:val="0000FF"/>
      <w:u w:val="single"/>
    </w:rPr>
  </w:style>
  <w:style w:type="paragraph" w:styleId="FootnoteText">
    <w:name w:val="footnote text"/>
    <w:basedOn w:val="Normal"/>
    <w:link w:val="FootnoteTextChar"/>
    <w:uiPriority w:val="99"/>
    <w:semiHidden/>
    <w:unhideWhenUsed/>
    <w:rsid w:val="00296AF2"/>
    <w:pPr>
      <w:spacing w:before="0" w:after="0"/>
    </w:pPr>
    <w:rPr>
      <w:sz w:val="20"/>
      <w:szCs w:val="20"/>
    </w:rPr>
  </w:style>
  <w:style w:type="character" w:customStyle="1" w:styleId="FootnoteTextChar">
    <w:name w:val="Footnote Text Char"/>
    <w:basedOn w:val="DefaultParagraphFont"/>
    <w:link w:val="FootnoteText"/>
    <w:uiPriority w:val="99"/>
    <w:semiHidden/>
    <w:rsid w:val="00296AF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96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950D711-1A52-4792-ABEA-1F6DEE6A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3</Pages>
  <Words>709</Words>
  <Characters>3669</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dcterms:created xsi:type="dcterms:W3CDTF">2020-06-24T00:27:00Z</dcterms:created>
  <dcterms:modified xsi:type="dcterms:W3CDTF">2020-06-24T23:54:00Z</dcterms:modified>
</cp:coreProperties>
</file>