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EAF" w:rsidRDefault="00B26EAF" w:rsidP="006A690C">
      <w:pPr>
        <w:pStyle w:val="ListParagraph"/>
        <w:numPr>
          <w:ilvl w:val="0"/>
          <w:numId w:val="38"/>
        </w:numPr>
        <w:spacing w:line="360" w:lineRule="auto"/>
        <w:ind w:left="360"/>
      </w:pPr>
      <w:r>
        <w:t>An estate planning</w:t>
      </w:r>
      <w:r w:rsidR="009143B4">
        <w:t xml:space="preserve"> attorney</w:t>
      </w:r>
      <w:r>
        <w:t xml:space="preserve"> bait and switch guaranteeing the controversy necessary to the 3</w:t>
      </w:r>
      <w:r w:rsidRPr="00B26EAF">
        <w:rPr>
          <w:vertAlign w:val="superscript"/>
        </w:rPr>
        <w:t>rd</w:t>
      </w:r>
      <w:r>
        <w:t xml:space="preserve"> party interception of family generational asset transfers. </w:t>
      </w:r>
      <w:r w:rsidR="009143B4">
        <w:t>(Facilitator for the probate mafia)</w:t>
      </w:r>
    </w:p>
    <w:p w:rsidR="006A690C" w:rsidRDefault="006A690C" w:rsidP="006A690C">
      <w:pPr>
        <w:pStyle w:val="ListParagraph"/>
        <w:numPr>
          <w:ilvl w:val="0"/>
          <w:numId w:val="38"/>
        </w:numPr>
        <w:spacing w:line="360" w:lineRule="auto"/>
        <w:ind w:left="360"/>
      </w:pPr>
      <w:r>
        <w:t>The bait and switch estate planning grifters are sued by an independent executor (a trust beneficiary) in</w:t>
      </w:r>
      <w:r w:rsidR="00246AB1">
        <w:t xml:space="preserve"> the District Court and then</w:t>
      </w:r>
      <w:r>
        <w:t xml:space="preserve"> </w:t>
      </w:r>
      <w:r w:rsidR="00246AB1">
        <w:t xml:space="preserve">the </w:t>
      </w:r>
      <w:r w:rsidR="00246AB1">
        <w:t>independent executor</w:t>
      </w:r>
      <w:r w:rsidR="00246AB1">
        <w:t>/</w:t>
      </w:r>
      <w:r w:rsidR="00246AB1">
        <w:t>trust beneficiary</w:t>
      </w:r>
      <w:r w:rsidR="00246AB1">
        <w:t xml:space="preserve"> sued all of his trust</w:t>
      </w:r>
      <w:r>
        <w:t xml:space="preserve"> co-beneficiary siblings</w:t>
      </w:r>
      <w:r w:rsidR="00246AB1">
        <w:t xml:space="preserve"> in the state probate court, in an (1) independent administration of an estate, (2) with no tangible assets, (3) after the inventory, appraisement and list of claims had been approved and (4) the probate of the pour-over estate was removed from the active docket (closed)</w:t>
      </w:r>
      <w:r>
        <w:t xml:space="preserve"> </w:t>
      </w:r>
    </w:p>
    <w:p w:rsidR="006A690C" w:rsidRDefault="00246AB1" w:rsidP="006A690C">
      <w:pPr>
        <w:pStyle w:val="ListParagraph"/>
        <w:numPr>
          <w:ilvl w:val="0"/>
          <w:numId w:val="38"/>
        </w:numPr>
        <w:spacing w:line="360" w:lineRule="auto"/>
        <w:ind w:left="360"/>
      </w:pPr>
      <w:r>
        <w:t xml:space="preserve">This sequestered the </w:t>
      </w:r>
      <w:r>
        <w:t>estate planning bait and switch</w:t>
      </w:r>
      <w:r>
        <w:t xml:space="preserve"> grifters in one court and trapping the entire family of victims in the probate court. This all occurred after an integrally related lawsuit for breach of fiduciary was pending in the SDTX, and after dismissal of the federal case under the </w:t>
      </w:r>
      <w:r w:rsidRPr="00972069">
        <w:rPr>
          <w:b/>
        </w:rPr>
        <w:t>probate exception</w:t>
      </w:r>
      <w:r>
        <w:t xml:space="preserve"> had been reversed and remanded by the 5</w:t>
      </w:r>
      <w:r w:rsidRPr="00246AB1">
        <w:rPr>
          <w:vertAlign w:val="superscript"/>
        </w:rPr>
        <w:t>th</w:t>
      </w:r>
      <w:r>
        <w:t xml:space="preserve"> Circuit.</w:t>
      </w:r>
    </w:p>
    <w:p w:rsidR="00246AB1" w:rsidRDefault="00246AB1" w:rsidP="00246AB1">
      <w:pPr>
        <w:spacing w:line="360" w:lineRule="auto"/>
      </w:pPr>
      <w:r>
        <w:t>SUMMARY</w:t>
      </w:r>
    </w:p>
    <w:p w:rsidR="008B7E15" w:rsidRDefault="008B7E15" w:rsidP="006A690C">
      <w:pPr>
        <w:pStyle w:val="ListParagraph"/>
        <w:numPr>
          <w:ilvl w:val="0"/>
          <w:numId w:val="38"/>
        </w:numPr>
        <w:spacing w:line="360" w:lineRule="auto"/>
        <w:ind w:left="360"/>
      </w:pPr>
      <w:r w:rsidRPr="00101CC3">
        <w:rPr>
          <w:b/>
          <w:u w:val="single"/>
        </w:rPr>
        <w:t>A pour-over will</w:t>
      </w:r>
      <w:r w:rsidR="004E2EF0">
        <w:t xml:space="preserve">, </w:t>
      </w:r>
      <w:r w:rsidR="00101CC3">
        <w:t xml:space="preserve">with devise to a living trust, Will </w:t>
      </w:r>
      <w:r w:rsidR="004E2EF0">
        <w:t>admitted without challenge</w:t>
      </w:r>
      <w:r w:rsidR="00101CC3">
        <w:t xml:space="preserve">, verified inventory approved without challenge </w:t>
      </w:r>
      <w:r w:rsidR="00101CC3" w:rsidRPr="00101CC3">
        <w:rPr>
          <w:b/>
          <w:u w:val="single"/>
        </w:rPr>
        <w:t>that somehow failed to pour</w:t>
      </w:r>
      <w:r>
        <w:t>?</w:t>
      </w:r>
    </w:p>
    <w:p w:rsidR="008B7E15" w:rsidRDefault="008B7E15" w:rsidP="006A690C">
      <w:pPr>
        <w:pStyle w:val="ListParagraph"/>
        <w:numPr>
          <w:ilvl w:val="0"/>
          <w:numId w:val="38"/>
        </w:numPr>
        <w:spacing w:line="360" w:lineRule="auto"/>
        <w:ind w:left="360"/>
      </w:pPr>
      <w:r>
        <w:t>A probate case in which the estate has no tangible interest</w:t>
      </w:r>
      <w:r w:rsidR="00B26EAF">
        <w:t xml:space="preserve"> in the outcome</w:t>
      </w:r>
      <w:r>
        <w:t xml:space="preserve"> </w:t>
      </w:r>
    </w:p>
    <w:p w:rsidR="008B7E15" w:rsidRDefault="008B7E15" w:rsidP="006A690C">
      <w:pPr>
        <w:pStyle w:val="ListParagraph"/>
        <w:numPr>
          <w:ilvl w:val="0"/>
          <w:numId w:val="38"/>
        </w:numPr>
        <w:spacing w:line="360" w:lineRule="auto"/>
        <w:ind w:left="360"/>
      </w:pPr>
      <w:r>
        <w:t xml:space="preserve">A unanimous Fifth Circuit Opinion </w:t>
      </w:r>
      <w:r w:rsidR="00972069">
        <w:t>(</w:t>
      </w:r>
      <w:r>
        <w:t>effectively ignored</w:t>
      </w:r>
      <w:r w:rsidR="00972069">
        <w:t xml:space="preserve">) </w:t>
      </w:r>
    </w:p>
    <w:p w:rsidR="008B7E15" w:rsidRDefault="00B26EAF" w:rsidP="00972069">
      <w:pPr>
        <w:pStyle w:val="ListParagraph"/>
        <w:numPr>
          <w:ilvl w:val="0"/>
          <w:numId w:val="38"/>
        </w:numPr>
        <w:spacing w:line="360" w:lineRule="auto"/>
        <w:ind w:left="360"/>
      </w:pPr>
      <w:r w:rsidRPr="00972069">
        <w:rPr>
          <w:b/>
        </w:rPr>
        <w:t>A federal preliminary injunction</w:t>
      </w:r>
      <w:r>
        <w:t xml:space="preserve"> and rulings entered in open court</w:t>
      </w:r>
      <w:r w:rsidR="00246AB1">
        <w:t xml:space="preserve"> </w:t>
      </w:r>
      <w:r w:rsidR="00972069">
        <w:t>(</w:t>
      </w:r>
      <w:r w:rsidR="00972069" w:rsidRPr="00246AB1">
        <w:rPr>
          <w:b/>
        </w:rPr>
        <w:t>effectively ignored</w:t>
      </w:r>
      <w:r w:rsidR="00972069">
        <w:t>)</w:t>
      </w:r>
      <w:r w:rsidR="00972069">
        <w:t xml:space="preserve"> </w:t>
      </w:r>
      <w:r w:rsidR="00246AB1">
        <w:t>on the same day the competing action was filed in probate</w:t>
      </w:r>
      <w:r>
        <w:t xml:space="preserve"> </w:t>
      </w:r>
      <w:r w:rsidR="008B7E15">
        <w:t>A remand that was not the return of a removed case</w:t>
      </w:r>
    </w:p>
    <w:p w:rsidR="008B7E15" w:rsidRDefault="008B7E15" w:rsidP="006A690C">
      <w:pPr>
        <w:pStyle w:val="ListParagraph"/>
        <w:numPr>
          <w:ilvl w:val="0"/>
          <w:numId w:val="38"/>
        </w:numPr>
        <w:spacing w:line="360" w:lineRule="auto"/>
        <w:ind w:left="360"/>
      </w:pPr>
      <w:r>
        <w:t>A transfer from federal to state</w:t>
      </w:r>
      <w:r w:rsidR="00B26EAF">
        <w:t xml:space="preserve"> court</w:t>
      </w:r>
      <w:r>
        <w:t xml:space="preserve"> for which there is no authority</w:t>
      </w:r>
    </w:p>
    <w:p w:rsidR="008B7E15" w:rsidRDefault="008B7E15" w:rsidP="006A690C">
      <w:pPr>
        <w:pStyle w:val="ListParagraph"/>
        <w:numPr>
          <w:ilvl w:val="0"/>
          <w:numId w:val="38"/>
        </w:numPr>
        <w:spacing w:line="360" w:lineRule="auto"/>
        <w:ind w:left="360"/>
      </w:pPr>
      <w:r>
        <w:t>A (complete) consolidation</w:t>
      </w:r>
      <w:r w:rsidR="00B26EAF">
        <w:t xml:space="preserve"> of the federal case </w:t>
      </w:r>
      <w:r>
        <w:t xml:space="preserve"> with an estate that has no representative and no interest in the outcome</w:t>
      </w:r>
    </w:p>
    <w:p w:rsidR="008B7E15" w:rsidRDefault="008B7E15" w:rsidP="006A690C">
      <w:pPr>
        <w:pStyle w:val="ListParagraph"/>
        <w:numPr>
          <w:ilvl w:val="0"/>
          <w:numId w:val="38"/>
        </w:numPr>
        <w:spacing w:line="360" w:lineRule="auto"/>
        <w:ind w:left="360"/>
      </w:pPr>
      <w:r>
        <w:t>Counter claims filed more than six years after a Defendants original answer</w:t>
      </w:r>
    </w:p>
    <w:p w:rsidR="008B7E15" w:rsidRDefault="008B7E15" w:rsidP="006A690C">
      <w:pPr>
        <w:pStyle w:val="ListParagraph"/>
        <w:numPr>
          <w:ilvl w:val="0"/>
          <w:numId w:val="38"/>
        </w:numPr>
        <w:spacing w:line="360" w:lineRule="auto"/>
        <w:ind w:left="360"/>
      </w:pPr>
      <w:r>
        <w:lastRenderedPageBreak/>
        <w:t xml:space="preserve">Summary Judgment motion based on the false thesis that the beneficiary suing the trustee to compel specific performance triggers </w:t>
      </w:r>
      <w:r w:rsidR="00B26EAF">
        <w:t xml:space="preserve">the </w:t>
      </w:r>
      <w:r>
        <w:t xml:space="preserve">forfeiture provisions in instruments </w:t>
      </w:r>
      <w:r w:rsidR="00B26EAF">
        <w:t xml:space="preserve">that are </w:t>
      </w:r>
      <w:r>
        <w:t>not in evidence</w:t>
      </w:r>
      <w:r w:rsidR="00B26EAF">
        <w:t xml:space="preserve">. </w:t>
      </w:r>
      <w:r w:rsidR="00101CC3">
        <w:t xml:space="preserve">Either the obligations of the trustee are affirmative and active or the trust is passive. The alleged co-trustee conspirators are either in breach of the affirmative duties prescribed by an active trust or they are in wrongful possession of the assets of a dry trust but in either instance they have misapplied fiduciary property held in trust for the benefit of elderly and disabled beneficiaries and that is a felony under both Tex. Penal Code §§ 32.45 &amp; 32.53. There are no accessories in Texas. Everyone that participated in perpetrating this fraud </w:t>
      </w:r>
      <w:r w:rsidR="009143B4">
        <w:t>is a principal.</w:t>
      </w:r>
    </w:p>
    <w:p w:rsidR="008B7E15" w:rsidRDefault="008B7E15" w:rsidP="006A690C">
      <w:pPr>
        <w:pStyle w:val="ListParagraph"/>
        <w:numPr>
          <w:ilvl w:val="0"/>
          <w:numId w:val="38"/>
        </w:numPr>
        <w:spacing w:line="360" w:lineRule="auto"/>
        <w:ind w:left="360"/>
      </w:pPr>
      <w:r>
        <w:t xml:space="preserve">Summary Judgment entered without a hearing, not rendered </w:t>
      </w:r>
      <w:r w:rsidR="00101CC3">
        <w:t xml:space="preserve">and </w:t>
      </w:r>
      <w:r>
        <w:t>in a</w:t>
      </w:r>
      <w:r w:rsidR="00B26EAF">
        <w:t xml:space="preserve"> probate</w:t>
      </w:r>
      <w:r>
        <w:t xml:space="preserve"> case where there is no </w:t>
      </w:r>
      <w:r w:rsidR="00101CC3">
        <w:t xml:space="preserve">estate, no executor, and no </w:t>
      </w:r>
      <w:r>
        <w:t>declaratory judgment defining what instruments we are talking about when we say “the trust”. (A fact issue in dispute)</w:t>
      </w:r>
    </w:p>
    <w:p w:rsidR="008B7E15" w:rsidRDefault="008B7E15" w:rsidP="006A690C">
      <w:pPr>
        <w:pStyle w:val="ListParagraph"/>
        <w:numPr>
          <w:ilvl w:val="0"/>
          <w:numId w:val="38"/>
        </w:numPr>
        <w:spacing w:line="360" w:lineRule="auto"/>
        <w:ind w:left="360"/>
      </w:pPr>
      <w:r>
        <w:t>A Severance of the cases never actually consolidated but given the appearance of a complete consolidation when a complete consolidation, as opposed to a consolidation fo</w:t>
      </w:r>
      <w:r w:rsidR="004E2EF0">
        <w:t xml:space="preserve">r trial, </w:t>
      </w:r>
      <w:r>
        <w:t xml:space="preserve">cannot be severed on the basis of alleged conflicts of interest </w:t>
      </w:r>
      <w:r w:rsidR="004E2EF0">
        <w:t>that were never delineated</w:t>
      </w:r>
      <w:r w:rsidR="006D0340">
        <w:t xml:space="preserve"> and what has changed since the consolidation?</w:t>
      </w:r>
    </w:p>
    <w:p w:rsidR="006D0340" w:rsidRDefault="006D0340" w:rsidP="006A690C">
      <w:pPr>
        <w:pStyle w:val="ListParagraph"/>
        <w:numPr>
          <w:ilvl w:val="0"/>
          <w:numId w:val="38"/>
        </w:numPr>
        <w:spacing w:line="360" w:lineRule="auto"/>
        <w:ind w:left="360"/>
      </w:pPr>
      <w:r>
        <w:t xml:space="preserve">Carl’s (Drina’s) Non-suit of the severed plaintiff terminated any controversy or conflict between Carl and Candace, if there ever actually was any. </w:t>
      </w:r>
    </w:p>
    <w:p w:rsidR="008B7E15" w:rsidRDefault="008B7E15"/>
    <w:sectPr w:rsidR="008B7E15" w:rsidSect="005C53E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D8F" w:rsidRDefault="00740D8F" w:rsidP="006D0340">
      <w:pPr>
        <w:spacing w:before="0" w:after="0" w:line="240" w:lineRule="auto"/>
      </w:pPr>
      <w:r>
        <w:separator/>
      </w:r>
    </w:p>
  </w:endnote>
  <w:endnote w:type="continuationSeparator" w:id="0">
    <w:p w:rsidR="00740D8F" w:rsidRDefault="00740D8F" w:rsidP="006D034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737" w:rsidRDefault="003257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737" w:rsidRDefault="003257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737" w:rsidRDefault="003257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D8F" w:rsidRDefault="00740D8F" w:rsidP="006D0340">
      <w:pPr>
        <w:spacing w:before="0" w:after="0" w:line="240" w:lineRule="auto"/>
      </w:pPr>
      <w:r>
        <w:separator/>
      </w:r>
    </w:p>
  </w:footnote>
  <w:footnote w:type="continuationSeparator" w:id="0">
    <w:p w:rsidR="00740D8F" w:rsidRDefault="00740D8F" w:rsidP="006D0340">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737" w:rsidRDefault="003257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340" w:rsidRDefault="006D0340">
    <w:pPr>
      <w:pStyle w:val="Header"/>
    </w:pPr>
    <w:bookmarkStart w:id="0" w:name="_GoBack"/>
    <w:r>
      <w:t>Chronology of Salient Points</w:t>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737" w:rsidRDefault="003257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92CB5"/>
    <w:multiLevelType w:val="hybridMultilevel"/>
    <w:tmpl w:val="3CAE69BC"/>
    <w:lvl w:ilvl="0" w:tplc="CAD014DE">
      <w:start w:val="1"/>
      <w:numFmt w:val="decimal"/>
      <w:pStyle w:val="NumPara1"/>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5CF5706"/>
    <w:multiLevelType w:val="hybridMultilevel"/>
    <w:tmpl w:val="D92C05F2"/>
    <w:lvl w:ilvl="0" w:tplc="593E260C">
      <w:start w:val="1"/>
      <w:numFmt w:val="decimal"/>
      <w:lvlText w:val="%1."/>
      <w:lvlJc w:val="left"/>
      <w:pPr>
        <w:ind w:left="360" w:hanging="360"/>
      </w:pPr>
      <w:rPr>
        <w:rFonts w:hint="default"/>
      </w:rPr>
    </w:lvl>
    <w:lvl w:ilvl="1" w:tplc="8192510E">
      <w:start w:val="1"/>
      <w:numFmt w:val="lowerLetter"/>
      <w:lvlText w:val="%2."/>
      <w:lvlJc w:val="left"/>
      <w:pPr>
        <w:ind w:left="1440" w:hanging="360"/>
      </w:pPr>
    </w:lvl>
    <w:lvl w:ilvl="2" w:tplc="251AB490">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326B8A"/>
    <w:multiLevelType w:val="hybridMultilevel"/>
    <w:tmpl w:val="0A1051A6"/>
    <w:lvl w:ilvl="0" w:tplc="B03A23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565D82"/>
    <w:multiLevelType w:val="hybridMultilevel"/>
    <w:tmpl w:val="4EC2DD52"/>
    <w:lvl w:ilvl="0" w:tplc="39F02D3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6F5047"/>
    <w:multiLevelType w:val="hybridMultilevel"/>
    <w:tmpl w:val="448860B2"/>
    <w:lvl w:ilvl="0" w:tplc="01461E86">
      <w:start w:val="1"/>
      <w:numFmt w:val="bullet"/>
      <w:pStyle w:val="Bullet"/>
      <w:lvlText w:val=""/>
      <w:lvlJc w:val="left"/>
      <w:pPr>
        <w:ind w:left="360" w:hanging="360"/>
      </w:pPr>
      <w:rPr>
        <w:rFonts w:ascii="Symbol" w:hAnsi="Symbol" w:hint="default"/>
      </w:rPr>
    </w:lvl>
    <w:lvl w:ilvl="1" w:tplc="5C8E4776">
      <w:start w:val="1"/>
      <w:numFmt w:val="lowerLetter"/>
      <w:lvlText w:val="%2."/>
      <w:lvlJc w:val="left"/>
      <w:pPr>
        <w:ind w:left="1080" w:hanging="360"/>
      </w:pPr>
      <w:rPr>
        <w:rFonts w:hint="default"/>
      </w:rPr>
    </w:lvl>
    <w:lvl w:ilvl="2" w:tplc="6A36F5C6">
      <w:start w:val="1"/>
      <w:numFmt w:val="decimal"/>
      <w:lvlText w:val="(%3)"/>
      <w:lvlJc w:val="left"/>
      <w:pPr>
        <w:ind w:left="2730" w:hanging="111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D364D93"/>
    <w:multiLevelType w:val="hybridMultilevel"/>
    <w:tmpl w:val="6EBEE5BE"/>
    <w:lvl w:ilvl="0" w:tplc="D7542F50">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933EE7"/>
    <w:multiLevelType w:val="hybridMultilevel"/>
    <w:tmpl w:val="C9B6CD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CA470B3"/>
    <w:multiLevelType w:val="hybridMultilevel"/>
    <w:tmpl w:val="A468983C"/>
    <w:lvl w:ilvl="0" w:tplc="CEE272E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7"/>
  </w:num>
  <w:num w:numId="12">
    <w:abstractNumId w:val="4"/>
  </w:num>
  <w:num w:numId="13">
    <w:abstractNumId w:val="2"/>
  </w:num>
  <w:num w:numId="14">
    <w:abstractNumId w:val="2"/>
  </w:num>
  <w:num w:numId="15">
    <w:abstractNumId w:val="2"/>
  </w:num>
  <w:num w:numId="16">
    <w:abstractNumId w:val="4"/>
  </w:num>
  <w:num w:numId="17">
    <w:abstractNumId w:val="2"/>
  </w:num>
  <w:num w:numId="18">
    <w:abstractNumId w:val="2"/>
  </w:num>
  <w:num w:numId="19">
    <w:abstractNumId w:val="2"/>
  </w:num>
  <w:num w:numId="20">
    <w:abstractNumId w:val="4"/>
  </w:num>
  <w:num w:numId="21">
    <w:abstractNumId w:val="2"/>
  </w:num>
  <w:num w:numId="22">
    <w:abstractNumId w:val="2"/>
  </w:num>
  <w:num w:numId="23">
    <w:abstractNumId w:val="2"/>
  </w:num>
  <w:num w:numId="24">
    <w:abstractNumId w:val="4"/>
  </w:num>
  <w:num w:numId="25">
    <w:abstractNumId w:val="2"/>
  </w:num>
  <w:num w:numId="26">
    <w:abstractNumId w:val="2"/>
  </w:num>
  <w:num w:numId="27">
    <w:abstractNumId w:val="2"/>
  </w:num>
  <w:num w:numId="28">
    <w:abstractNumId w:val="4"/>
  </w:num>
  <w:num w:numId="29">
    <w:abstractNumId w:val="2"/>
  </w:num>
  <w:num w:numId="30">
    <w:abstractNumId w:val="5"/>
  </w:num>
  <w:num w:numId="31">
    <w:abstractNumId w:val="5"/>
  </w:num>
  <w:num w:numId="32">
    <w:abstractNumId w:val="5"/>
  </w:num>
  <w:num w:numId="33">
    <w:abstractNumId w:val="4"/>
  </w:num>
  <w:num w:numId="34">
    <w:abstractNumId w:val="0"/>
  </w:num>
  <w:num w:numId="35">
    <w:abstractNumId w:val="0"/>
  </w:num>
  <w:num w:numId="36">
    <w:abstractNumId w:val="4"/>
  </w:num>
  <w:num w:numId="37">
    <w:abstractNumId w:val="0"/>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E15"/>
    <w:rsid w:val="00003545"/>
    <w:rsid w:val="0002109F"/>
    <w:rsid w:val="00091071"/>
    <w:rsid w:val="000D0E94"/>
    <w:rsid w:val="000F738F"/>
    <w:rsid w:val="00101CC3"/>
    <w:rsid w:val="00124D37"/>
    <w:rsid w:val="001A3F32"/>
    <w:rsid w:val="001D0B0A"/>
    <w:rsid w:val="001D6254"/>
    <w:rsid w:val="00222515"/>
    <w:rsid w:val="00237452"/>
    <w:rsid w:val="0024453E"/>
    <w:rsid w:val="00246AB1"/>
    <w:rsid w:val="002B0C9B"/>
    <w:rsid w:val="002F6C12"/>
    <w:rsid w:val="00325737"/>
    <w:rsid w:val="003A6462"/>
    <w:rsid w:val="003F4B40"/>
    <w:rsid w:val="00424FE8"/>
    <w:rsid w:val="004E2EF0"/>
    <w:rsid w:val="005157AC"/>
    <w:rsid w:val="0055091F"/>
    <w:rsid w:val="005B4D26"/>
    <w:rsid w:val="005C53EF"/>
    <w:rsid w:val="005E0485"/>
    <w:rsid w:val="00644CA5"/>
    <w:rsid w:val="006A479E"/>
    <w:rsid w:val="006A690C"/>
    <w:rsid w:val="006B3E57"/>
    <w:rsid w:val="006D0340"/>
    <w:rsid w:val="00721920"/>
    <w:rsid w:val="00727055"/>
    <w:rsid w:val="00740D8F"/>
    <w:rsid w:val="00756AA9"/>
    <w:rsid w:val="0079737C"/>
    <w:rsid w:val="007C1128"/>
    <w:rsid w:val="008303EB"/>
    <w:rsid w:val="00855E0E"/>
    <w:rsid w:val="008B060C"/>
    <w:rsid w:val="008B7E15"/>
    <w:rsid w:val="009143B4"/>
    <w:rsid w:val="00932191"/>
    <w:rsid w:val="00950776"/>
    <w:rsid w:val="00972069"/>
    <w:rsid w:val="00974001"/>
    <w:rsid w:val="00975538"/>
    <w:rsid w:val="00977F59"/>
    <w:rsid w:val="009A77A7"/>
    <w:rsid w:val="009D75C0"/>
    <w:rsid w:val="00A17B47"/>
    <w:rsid w:val="00A237F9"/>
    <w:rsid w:val="00A82FAD"/>
    <w:rsid w:val="00AA1582"/>
    <w:rsid w:val="00AB0B1E"/>
    <w:rsid w:val="00AC0531"/>
    <w:rsid w:val="00B02C6D"/>
    <w:rsid w:val="00B26EAF"/>
    <w:rsid w:val="00B32522"/>
    <w:rsid w:val="00B64FE7"/>
    <w:rsid w:val="00B67DE7"/>
    <w:rsid w:val="00B87F04"/>
    <w:rsid w:val="00C10E52"/>
    <w:rsid w:val="00C33529"/>
    <w:rsid w:val="00C42C11"/>
    <w:rsid w:val="00C67045"/>
    <w:rsid w:val="00CB2AE0"/>
    <w:rsid w:val="00D653E0"/>
    <w:rsid w:val="00DE5A41"/>
    <w:rsid w:val="00EE557C"/>
    <w:rsid w:val="00FF5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pPr>
        <w:spacing w:after="1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CA5"/>
    <w:pPr>
      <w:spacing w:before="120" w:after="240" w:line="480" w:lineRule="auto"/>
      <w:ind w:firstLine="720"/>
    </w:pPr>
    <w:rPr>
      <w:sz w:val="24"/>
      <w:szCs w:val="24"/>
    </w:rPr>
  </w:style>
  <w:style w:type="paragraph" w:styleId="Heading1">
    <w:name w:val="heading 1"/>
    <w:basedOn w:val="Normal"/>
    <w:next w:val="Normal"/>
    <w:link w:val="Heading1Char"/>
    <w:autoRedefine/>
    <w:qFormat/>
    <w:rsid w:val="00091071"/>
    <w:pPr>
      <w:keepNext/>
      <w:numPr>
        <w:numId w:val="31"/>
      </w:numPr>
      <w:spacing w:after="120"/>
      <w:outlineLvl w:val="0"/>
    </w:pPr>
    <w:rPr>
      <w:b/>
      <w:bCs/>
      <w:noProof/>
      <w:szCs w:val="52"/>
      <w:u w:val="single"/>
    </w:rPr>
  </w:style>
  <w:style w:type="paragraph" w:styleId="Heading2">
    <w:name w:val="heading 2"/>
    <w:basedOn w:val="Normal"/>
    <w:next w:val="Normal"/>
    <w:link w:val="Heading2Char"/>
    <w:autoRedefine/>
    <w:uiPriority w:val="9"/>
    <w:unhideWhenUsed/>
    <w:qFormat/>
    <w:rsid w:val="00003545"/>
    <w:pPr>
      <w:spacing w:line="240" w:lineRule="auto"/>
      <w:ind w:left="360" w:right="187" w:hanging="360"/>
      <w:outlineLvl w:val="1"/>
    </w:pPr>
    <w:rPr>
      <w:b/>
    </w:rPr>
  </w:style>
  <w:style w:type="paragraph" w:styleId="Heading3">
    <w:name w:val="heading 3"/>
    <w:basedOn w:val="Normal"/>
    <w:next w:val="Normal"/>
    <w:link w:val="Heading3Char"/>
    <w:autoRedefine/>
    <w:uiPriority w:val="9"/>
    <w:unhideWhenUsed/>
    <w:qFormat/>
    <w:rsid w:val="0079737C"/>
    <w:pPr>
      <w:keepNext/>
      <w:keepLines/>
      <w:spacing w:after="120" w:line="240" w:lineRule="auto"/>
      <w:outlineLvl w:val="2"/>
    </w:pPr>
    <w:rPr>
      <w:rFonts w:asciiTheme="majorHAnsi" w:eastAsiaTheme="majorEastAsia" w:hAnsiTheme="majorHAnsi" w:cstheme="majorBidi"/>
      <w:b/>
      <w:bCs/>
      <w:i/>
      <w:iCs/>
    </w:rPr>
  </w:style>
  <w:style w:type="paragraph" w:styleId="Heading4">
    <w:name w:val="heading 4"/>
    <w:basedOn w:val="Normal"/>
    <w:next w:val="Normal"/>
    <w:link w:val="Heading4Char"/>
    <w:uiPriority w:val="9"/>
    <w:unhideWhenUsed/>
    <w:qFormat/>
    <w:rsid w:val="00091071"/>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autoRedefine/>
    <w:uiPriority w:val="29"/>
    <w:qFormat/>
    <w:rsid w:val="00C10E52"/>
    <w:pPr>
      <w:widowControl w:val="0"/>
      <w:spacing w:before="0" w:after="120" w:line="240" w:lineRule="auto"/>
      <w:ind w:left="720" w:right="720" w:firstLine="0"/>
      <w:jc w:val="both"/>
      <w:textboxTightWrap w:val="allLines"/>
    </w:pPr>
    <w:rPr>
      <w:i/>
      <w:iCs/>
      <w:color w:val="404040" w:themeColor="text1" w:themeTint="BF"/>
      <w:szCs w:val="28"/>
    </w:rPr>
  </w:style>
  <w:style w:type="character" w:customStyle="1" w:styleId="QuoteChar">
    <w:name w:val="Quote Char"/>
    <w:basedOn w:val="DefaultParagraphFont"/>
    <w:link w:val="Quote"/>
    <w:uiPriority w:val="29"/>
    <w:rsid w:val="00C10E52"/>
    <w:rPr>
      <w:i/>
      <w:iCs/>
      <w:color w:val="404040" w:themeColor="text1" w:themeTint="BF"/>
      <w:sz w:val="24"/>
    </w:rPr>
  </w:style>
  <w:style w:type="character" w:customStyle="1" w:styleId="Heading1Char">
    <w:name w:val="Heading 1 Char"/>
    <w:basedOn w:val="DefaultParagraphFont"/>
    <w:link w:val="Heading1"/>
    <w:rsid w:val="00091071"/>
    <w:rPr>
      <w:b/>
      <w:bCs/>
      <w:noProof/>
      <w:szCs w:val="52"/>
      <w:u w:val="single"/>
    </w:rPr>
  </w:style>
  <w:style w:type="character" w:customStyle="1" w:styleId="Heading2Char">
    <w:name w:val="Heading 2 Char"/>
    <w:basedOn w:val="DefaultParagraphFont"/>
    <w:link w:val="Heading2"/>
    <w:uiPriority w:val="9"/>
    <w:rsid w:val="00003545"/>
    <w:rPr>
      <w:b/>
    </w:rPr>
  </w:style>
  <w:style w:type="paragraph" w:customStyle="1" w:styleId="NumPara1">
    <w:name w:val="Num Para 1"/>
    <w:basedOn w:val="ListParagraph"/>
    <w:link w:val="NumPara1Char"/>
    <w:autoRedefine/>
    <w:qFormat/>
    <w:rsid w:val="00DE5A41"/>
    <w:pPr>
      <w:widowControl w:val="0"/>
      <w:numPr>
        <w:numId w:val="34"/>
      </w:numPr>
      <w:autoSpaceDE w:val="0"/>
      <w:autoSpaceDN w:val="0"/>
      <w:adjustRightInd w:val="0"/>
      <w:ind w:left="0" w:firstLine="0"/>
      <w:textboxTightWrap w:val="allLines"/>
    </w:pPr>
    <w:rPr>
      <w:color w:val="000000"/>
    </w:rPr>
  </w:style>
  <w:style w:type="character" w:customStyle="1" w:styleId="NumPara1Char">
    <w:name w:val="Num Para 1 Char"/>
    <w:basedOn w:val="DefaultParagraphFont"/>
    <w:link w:val="NumPara1"/>
    <w:rsid w:val="00DE5A41"/>
    <w:rPr>
      <w:color w:val="000000"/>
      <w:sz w:val="24"/>
      <w:szCs w:val="24"/>
    </w:rPr>
  </w:style>
  <w:style w:type="paragraph" w:styleId="ListParagraph">
    <w:name w:val="List Paragraph"/>
    <w:basedOn w:val="Normal"/>
    <w:link w:val="ListParagraphChar"/>
    <w:uiPriority w:val="34"/>
    <w:qFormat/>
    <w:rsid w:val="00091071"/>
    <w:pPr>
      <w:ind w:left="720"/>
    </w:pPr>
  </w:style>
  <w:style w:type="paragraph" w:customStyle="1" w:styleId="TOC">
    <w:name w:val="TOC"/>
    <w:basedOn w:val="TOCHeading"/>
    <w:link w:val="TOCChar"/>
    <w:autoRedefine/>
    <w:qFormat/>
    <w:rsid w:val="00091071"/>
    <w:pPr>
      <w:spacing w:before="120" w:line="240" w:lineRule="auto"/>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semiHidden/>
    <w:unhideWhenUsed/>
    <w:qFormat/>
    <w:rsid w:val="00091071"/>
    <w:pPr>
      <w:keepLines/>
      <w:numPr>
        <w:numId w:val="0"/>
      </w:numPr>
      <w:spacing w:before="480" w:after="0"/>
      <w:outlineLvl w:val="9"/>
    </w:pPr>
    <w:rPr>
      <w:rFonts w:asciiTheme="majorHAnsi" w:eastAsiaTheme="majorEastAsia" w:hAnsiTheme="majorHAnsi" w:cstheme="majorBidi"/>
      <w:noProof w:val="0"/>
      <w:color w:val="2E74B5" w:themeColor="accent1" w:themeShade="BF"/>
      <w:szCs w:val="28"/>
      <w:u w:val="none"/>
    </w:rPr>
  </w:style>
  <w:style w:type="paragraph" w:styleId="TOC1">
    <w:name w:val="toc 1"/>
    <w:basedOn w:val="Normal"/>
    <w:next w:val="Normal"/>
    <w:autoRedefine/>
    <w:uiPriority w:val="39"/>
    <w:unhideWhenUsed/>
    <w:rsid w:val="002B0C9B"/>
    <w:pPr>
      <w:tabs>
        <w:tab w:val="right" w:leader="dot" w:pos="9350"/>
      </w:tabs>
      <w:spacing w:after="120"/>
    </w:pPr>
  </w:style>
  <w:style w:type="paragraph" w:styleId="NoSpacing">
    <w:name w:val="No Spacing"/>
    <w:autoRedefine/>
    <w:uiPriority w:val="1"/>
    <w:qFormat/>
    <w:rsid w:val="006B3E57"/>
    <w:pPr>
      <w:widowControl w:val="0"/>
      <w:autoSpaceDE w:val="0"/>
      <w:autoSpaceDN w:val="0"/>
      <w:adjustRightInd w:val="0"/>
      <w:spacing w:before="120" w:after="120"/>
      <w:jc w:val="both"/>
    </w:pPr>
    <w:rPr>
      <w:rFonts w:eastAsiaTheme="majorEastAsia"/>
      <w:bCs/>
      <w:color w:val="212121"/>
      <w:sz w:val="24"/>
    </w:rPr>
  </w:style>
  <w:style w:type="paragraph" w:customStyle="1" w:styleId="Bullet">
    <w:name w:val="Bullet"/>
    <w:basedOn w:val="NumPara1"/>
    <w:link w:val="BulletChar"/>
    <w:qFormat/>
    <w:rsid w:val="002F6C12"/>
    <w:pPr>
      <w:numPr>
        <w:numId w:val="28"/>
      </w:numPr>
      <w:spacing w:line="240" w:lineRule="auto"/>
    </w:pPr>
  </w:style>
  <w:style w:type="character" w:customStyle="1" w:styleId="BulletChar">
    <w:name w:val="Bullet Char"/>
    <w:basedOn w:val="NumPara1Char"/>
    <w:link w:val="Bullet"/>
    <w:rsid w:val="002F6C12"/>
    <w:rPr>
      <w:rFonts w:eastAsia="Times New Roman"/>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uiPriority w:val="9"/>
    <w:rsid w:val="0079737C"/>
    <w:rPr>
      <w:rFonts w:asciiTheme="majorHAnsi" w:eastAsiaTheme="majorEastAsia" w:hAnsiTheme="majorHAnsi" w:cstheme="majorBidi"/>
      <w:b/>
      <w:bCs/>
      <w:i/>
      <w:iCs/>
      <w:sz w:val="24"/>
      <w:szCs w:val="24"/>
    </w:rPr>
  </w:style>
  <w:style w:type="character" w:customStyle="1" w:styleId="Heading4Char">
    <w:name w:val="Heading 4 Char"/>
    <w:basedOn w:val="DefaultParagraphFont"/>
    <w:link w:val="Heading4"/>
    <w:uiPriority w:val="9"/>
    <w:rsid w:val="00091071"/>
    <w:rPr>
      <w:rFonts w:asciiTheme="majorHAnsi" w:eastAsiaTheme="majorEastAsia" w:hAnsiTheme="majorHAnsi" w:cstheme="majorBidi"/>
      <w:b/>
      <w:bCs/>
      <w:i/>
      <w:iCs/>
      <w:color w:val="5B9BD5" w:themeColor="accent1"/>
    </w:rPr>
  </w:style>
  <w:style w:type="paragraph" w:styleId="FootnoteText">
    <w:name w:val="footnote text"/>
    <w:basedOn w:val="Normal"/>
    <w:link w:val="FootnoteTextChar"/>
    <w:autoRedefine/>
    <w:uiPriority w:val="99"/>
    <w:unhideWhenUsed/>
    <w:rsid w:val="002B0C9B"/>
    <w:rPr>
      <w:szCs w:val="20"/>
    </w:rPr>
  </w:style>
  <w:style w:type="character" w:customStyle="1" w:styleId="FootnoteTextChar">
    <w:name w:val="Footnote Text Char"/>
    <w:basedOn w:val="DefaultParagraphFont"/>
    <w:link w:val="FootnoteText"/>
    <w:uiPriority w:val="99"/>
    <w:rsid w:val="002B0C9B"/>
    <w:rPr>
      <w:rFonts w:ascii="Times New Roman" w:eastAsiaTheme="minorHAnsi" w:hAnsi="Times New Roman"/>
      <w:sz w:val="24"/>
      <w:szCs w:val="20"/>
    </w:rPr>
  </w:style>
  <w:style w:type="paragraph" w:styleId="Header">
    <w:name w:val="header"/>
    <w:basedOn w:val="Normal"/>
    <w:link w:val="HeaderChar"/>
    <w:uiPriority w:val="99"/>
    <w:unhideWhenUsed/>
    <w:rsid w:val="002B0C9B"/>
    <w:pPr>
      <w:tabs>
        <w:tab w:val="center" w:pos="4680"/>
        <w:tab w:val="right" w:pos="9360"/>
      </w:tabs>
    </w:pPr>
  </w:style>
  <w:style w:type="character" w:customStyle="1" w:styleId="HeaderChar">
    <w:name w:val="Header Char"/>
    <w:basedOn w:val="DefaultParagraphFont"/>
    <w:link w:val="Header"/>
    <w:uiPriority w:val="99"/>
    <w:rsid w:val="002B0C9B"/>
    <w:rPr>
      <w:rFonts w:ascii="Times New Roman" w:hAnsi="Times New Roman" w:cs="Times New Roman"/>
      <w:sz w:val="28"/>
      <w:szCs w:val="28"/>
    </w:rPr>
  </w:style>
  <w:style w:type="paragraph" w:styleId="Footer">
    <w:name w:val="footer"/>
    <w:basedOn w:val="Normal"/>
    <w:link w:val="FooterChar"/>
    <w:uiPriority w:val="99"/>
    <w:unhideWhenUsed/>
    <w:rsid w:val="002B0C9B"/>
    <w:pPr>
      <w:tabs>
        <w:tab w:val="center" w:pos="4680"/>
        <w:tab w:val="right" w:pos="9360"/>
      </w:tabs>
    </w:pPr>
  </w:style>
  <w:style w:type="character" w:customStyle="1" w:styleId="FooterChar">
    <w:name w:val="Footer Char"/>
    <w:basedOn w:val="DefaultParagraphFont"/>
    <w:link w:val="Footer"/>
    <w:uiPriority w:val="99"/>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szCs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uiPriority w:val="10"/>
    <w:qFormat/>
    <w:rsid w:val="00091071"/>
    <w:pPr>
      <w:pBdr>
        <w:bottom w:val="single" w:sz="8" w:space="4" w:color="5B9BD5"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91071"/>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qFormat/>
    <w:rsid w:val="00C10E52"/>
    <w:pPr>
      <w:spacing w:before="0" w:after="0" w:line="240" w:lineRule="auto"/>
      <w:ind w:firstLine="0"/>
      <w:contextualSpacing/>
    </w:pPr>
    <w:rPr>
      <w:rFonts w:eastAsiaTheme="minorHAnsi"/>
      <w:color w:val="000000"/>
      <w:szCs w:val="24"/>
    </w:rPr>
  </w:style>
  <w:style w:type="character" w:customStyle="1" w:styleId="FootnoteChar">
    <w:name w:val="Footnote Char"/>
    <w:basedOn w:val="FootnoteTextChar"/>
    <w:link w:val="Footnote"/>
    <w:rsid w:val="00C10E52"/>
    <w:rPr>
      <w:rFonts w:ascii="Times New Roman" w:eastAsiaTheme="minorHAnsi" w:hAnsi="Times New Roman"/>
      <w:color w:val="000000"/>
      <w:sz w:val="24"/>
      <w:szCs w:val="24"/>
    </w:rPr>
  </w:style>
  <w:style w:type="paragraph" w:styleId="TOAHeading">
    <w:name w:val="toa heading"/>
    <w:basedOn w:val="Normal"/>
    <w:next w:val="Normal"/>
    <w:autoRedefine/>
    <w:uiPriority w:val="99"/>
    <w:unhideWhenUsed/>
    <w:qFormat/>
    <w:rsid w:val="00091071"/>
    <w:pPr>
      <w:ind w:firstLine="360"/>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2B0C9B"/>
    <w:pPr>
      <w:spacing w:after="120"/>
      <w:ind w:left="274"/>
    </w:pPr>
  </w:style>
  <w:style w:type="paragraph" w:styleId="TOC3">
    <w:name w:val="toc 3"/>
    <w:basedOn w:val="Normal"/>
    <w:next w:val="Normal"/>
    <w:autoRedefine/>
    <w:uiPriority w:val="39"/>
    <w:semiHidden/>
    <w:unhideWhenUsed/>
    <w:rsid w:val="002B0C9B"/>
    <w:pPr>
      <w:spacing w:after="120"/>
      <w:ind w:left="562"/>
    </w:pPr>
  </w:style>
  <w:style w:type="paragraph" w:styleId="TableofAuthorities">
    <w:name w:val="table of authorities"/>
    <w:basedOn w:val="Normal"/>
    <w:next w:val="Normal"/>
    <w:uiPriority w:val="99"/>
    <w:unhideWhenUsed/>
    <w:rsid w:val="002B0C9B"/>
    <w:pPr>
      <w:spacing w:before="240"/>
      <w:ind w:left="274" w:hanging="274"/>
    </w:p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semiHidden/>
    <w:unhideWhenUsed/>
    <w:rsid w:val="002B0C9B"/>
    <w:pPr>
      <w:spacing w:before="100" w:beforeAutospacing="1"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pPr>
        <w:spacing w:after="1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CA5"/>
    <w:pPr>
      <w:spacing w:before="120" w:after="240" w:line="480" w:lineRule="auto"/>
      <w:ind w:firstLine="720"/>
    </w:pPr>
    <w:rPr>
      <w:sz w:val="24"/>
      <w:szCs w:val="24"/>
    </w:rPr>
  </w:style>
  <w:style w:type="paragraph" w:styleId="Heading1">
    <w:name w:val="heading 1"/>
    <w:basedOn w:val="Normal"/>
    <w:next w:val="Normal"/>
    <w:link w:val="Heading1Char"/>
    <w:autoRedefine/>
    <w:qFormat/>
    <w:rsid w:val="00091071"/>
    <w:pPr>
      <w:keepNext/>
      <w:numPr>
        <w:numId w:val="31"/>
      </w:numPr>
      <w:spacing w:after="120"/>
      <w:outlineLvl w:val="0"/>
    </w:pPr>
    <w:rPr>
      <w:b/>
      <w:bCs/>
      <w:noProof/>
      <w:szCs w:val="52"/>
      <w:u w:val="single"/>
    </w:rPr>
  </w:style>
  <w:style w:type="paragraph" w:styleId="Heading2">
    <w:name w:val="heading 2"/>
    <w:basedOn w:val="Normal"/>
    <w:next w:val="Normal"/>
    <w:link w:val="Heading2Char"/>
    <w:autoRedefine/>
    <w:uiPriority w:val="9"/>
    <w:unhideWhenUsed/>
    <w:qFormat/>
    <w:rsid w:val="00003545"/>
    <w:pPr>
      <w:spacing w:line="240" w:lineRule="auto"/>
      <w:ind w:left="360" w:right="187" w:hanging="360"/>
      <w:outlineLvl w:val="1"/>
    </w:pPr>
    <w:rPr>
      <w:b/>
    </w:rPr>
  </w:style>
  <w:style w:type="paragraph" w:styleId="Heading3">
    <w:name w:val="heading 3"/>
    <w:basedOn w:val="Normal"/>
    <w:next w:val="Normal"/>
    <w:link w:val="Heading3Char"/>
    <w:autoRedefine/>
    <w:uiPriority w:val="9"/>
    <w:unhideWhenUsed/>
    <w:qFormat/>
    <w:rsid w:val="0079737C"/>
    <w:pPr>
      <w:keepNext/>
      <w:keepLines/>
      <w:spacing w:after="120" w:line="240" w:lineRule="auto"/>
      <w:outlineLvl w:val="2"/>
    </w:pPr>
    <w:rPr>
      <w:rFonts w:asciiTheme="majorHAnsi" w:eastAsiaTheme="majorEastAsia" w:hAnsiTheme="majorHAnsi" w:cstheme="majorBidi"/>
      <w:b/>
      <w:bCs/>
      <w:i/>
      <w:iCs/>
    </w:rPr>
  </w:style>
  <w:style w:type="paragraph" w:styleId="Heading4">
    <w:name w:val="heading 4"/>
    <w:basedOn w:val="Normal"/>
    <w:next w:val="Normal"/>
    <w:link w:val="Heading4Char"/>
    <w:uiPriority w:val="9"/>
    <w:unhideWhenUsed/>
    <w:qFormat/>
    <w:rsid w:val="00091071"/>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autoRedefine/>
    <w:uiPriority w:val="29"/>
    <w:qFormat/>
    <w:rsid w:val="00C10E52"/>
    <w:pPr>
      <w:widowControl w:val="0"/>
      <w:spacing w:before="0" w:after="120" w:line="240" w:lineRule="auto"/>
      <w:ind w:left="720" w:right="720" w:firstLine="0"/>
      <w:jc w:val="both"/>
      <w:textboxTightWrap w:val="allLines"/>
    </w:pPr>
    <w:rPr>
      <w:i/>
      <w:iCs/>
      <w:color w:val="404040" w:themeColor="text1" w:themeTint="BF"/>
      <w:szCs w:val="28"/>
    </w:rPr>
  </w:style>
  <w:style w:type="character" w:customStyle="1" w:styleId="QuoteChar">
    <w:name w:val="Quote Char"/>
    <w:basedOn w:val="DefaultParagraphFont"/>
    <w:link w:val="Quote"/>
    <w:uiPriority w:val="29"/>
    <w:rsid w:val="00C10E52"/>
    <w:rPr>
      <w:i/>
      <w:iCs/>
      <w:color w:val="404040" w:themeColor="text1" w:themeTint="BF"/>
      <w:sz w:val="24"/>
    </w:rPr>
  </w:style>
  <w:style w:type="character" w:customStyle="1" w:styleId="Heading1Char">
    <w:name w:val="Heading 1 Char"/>
    <w:basedOn w:val="DefaultParagraphFont"/>
    <w:link w:val="Heading1"/>
    <w:rsid w:val="00091071"/>
    <w:rPr>
      <w:b/>
      <w:bCs/>
      <w:noProof/>
      <w:szCs w:val="52"/>
      <w:u w:val="single"/>
    </w:rPr>
  </w:style>
  <w:style w:type="character" w:customStyle="1" w:styleId="Heading2Char">
    <w:name w:val="Heading 2 Char"/>
    <w:basedOn w:val="DefaultParagraphFont"/>
    <w:link w:val="Heading2"/>
    <w:uiPriority w:val="9"/>
    <w:rsid w:val="00003545"/>
    <w:rPr>
      <w:b/>
    </w:rPr>
  </w:style>
  <w:style w:type="paragraph" w:customStyle="1" w:styleId="NumPara1">
    <w:name w:val="Num Para 1"/>
    <w:basedOn w:val="ListParagraph"/>
    <w:link w:val="NumPara1Char"/>
    <w:autoRedefine/>
    <w:qFormat/>
    <w:rsid w:val="00DE5A41"/>
    <w:pPr>
      <w:widowControl w:val="0"/>
      <w:numPr>
        <w:numId w:val="34"/>
      </w:numPr>
      <w:autoSpaceDE w:val="0"/>
      <w:autoSpaceDN w:val="0"/>
      <w:adjustRightInd w:val="0"/>
      <w:ind w:left="0" w:firstLine="0"/>
      <w:textboxTightWrap w:val="allLines"/>
    </w:pPr>
    <w:rPr>
      <w:color w:val="000000"/>
    </w:rPr>
  </w:style>
  <w:style w:type="character" w:customStyle="1" w:styleId="NumPara1Char">
    <w:name w:val="Num Para 1 Char"/>
    <w:basedOn w:val="DefaultParagraphFont"/>
    <w:link w:val="NumPara1"/>
    <w:rsid w:val="00DE5A41"/>
    <w:rPr>
      <w:color w:val="000000"/>
      <w:sz w:val="24"/>
      <w:szCs w:val="24"/>
    </w:rPr>
  </w:style>
  <w:style w:type="paragraph" w:styleId="ListParagraph">
    <w:name w:val="List Paragraph"/>
    <w:basedOn w:val="Normal"/>
    <w:link w:val="ListParagraphChar"/>
    <w:uiPriority w:val="34"/>
    <w:qFormat/>
    <w:rsid w:val="00091071"/>
    <w:pPr>
      <w:ind w:left="720"/>
    </w:pPr>
  </w:style>
  <w:style w:type="paragraph" w:customStyle="1" w:styleId="TOC">
    <w:name w:val="TOC"/>
    <w:basedOn w:val="TOCHeading"/>
    <w:link w:val="TOCChar"/>
    <w:autoRedefine/>
    <w:qFormat/>
    <w:rsid w:val="00091071"/>
    <w:pPr>
      <w:spacing w:before="120" w:line="240" w:lineRule="auto"/>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semiHidden/>
    <w:unhideWhenUsed/>
    <w:qFormat/>
    <w:rsid w:val="00091071"/>
    <w:pPr>
      <w:keepLines/>
      <w:numPr>
        <w:numId w:val="0"/>
      </w:numPr>
      <w:spacing w:before="480" w:after="0"/>
      <w:outlineLvl w:val="9"/>
    </w:pPr>
    <w:rPr>
      <w:rFonts w:asciiTheme="majorHAnsi" w:eastAsiaTheme="majorEastAsia" w:hAnsiTheme="majorHAnsi" w:cstheme="majorBidi"/>
      <w:noProof w:val="0"/>
      <w:color w:val="2E74B5" w:themeColor="accent1" w:themeShade="BF"/>
      <w:szCs w:val="28"/>
      <w:u w:val="none"/>
    </w:rPr>
  </w:style>
  <w:style w:type="paragraph" w:styleId="TOC1">
    <w:name w:val="toc 1"/>
    <w:basedOn w:val="Normal"/>
    <w:next w:val="Normal"/>
    <w:autoRedefine/>
    <w:uiPriority w:val="39"/>
    <w:unhideWhenUsed/>
    <w:rsid w:val="002B0C9B"/>
    <w:pPr>
      <w:tabs>
        <w:tab w:val="right" w:leader="dot" w:pos="9350"/>
      </w:tabs>
      <w:spacing w:after="120"/>
    </w:pPr>
  </w:style>
  <w:style w:type="paragraph" w:styleId="NoSpacing">
    <w:name w:val="No Spacing"/>
    <w:autoRedefine/>
    <w:uiPriority w:val="1"/>
    <w:qFormat/>
    <w:rsid w:val="006B3E57"/>
    <w:pPr>
      <w:widowControl w:val="0"/>
      <w:autoSpaceDE w:val="0"/>
      <w:autoSpaceDN w:val="0"/>
      <w:adjustRightInd w:val="0"/>
      <w:spacing w:before="120" w:after="120"/>
      <w:jc w:val="both"/>
    </w:pPr>
    <w:rPr>
      <w:rFonts w:eastAsiaTheme="majorEastAsia"/>
      <w:bCs/>
      <w:color w:val="212121"/>
      <w:sz w:val="24"/>
    </w:rPr>
  </w:style>
  <w:style w:type="paragraph" w:customStyle="1" w:styleId="Bullet">
    <w:name w:val="Bullet"/>
    <w:basedOn w:val="NumPara1"/>
    <w:link w:val="BulletChar"/>
    <w:qFormat/>
    <w:rsid w:val="002F6C12"/>
    <w:pPr>
      <w:numPr>
        <w:numId w:val="28"/>
      </w:numPr>
      <w:spacing w:line="240" w:lineRule="auto"/>
    </w:pPr>
  </w:style>
  <w:style w:type="character" w:customStyle="1" w:styleId="BulletChar">
    <w:name w:val="Bullet Char"/>
    <w:basedOn w:val="NumPara1Char"/>
    <w:link w:val="Bullet"/>
    <w:rsid w:val="002F6C12"/>
    <w:rPr>
      <w:rFonts w:eastAsia="Times New Roman"/>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uiPriority w:val="9"/>
    <w:rsid w:val="0079737C"/>
    <w:rPr>
      <w:rFonts w:asciiTheme="majorHAnsi" w:eastAsiaTheme="majorEastAsia" w:hAnsiTheme="majorHAnsi" w:cstheme="majorBidi"/>
      <w:b/>
      <w:bCs/>
      <w:i/>
      <w:iCs/>
      <w:sz w:val="24"/>
      <w:szCs w:val="24"/>
    </w:rPr>
  </w:style>
  <w:style w:type="character" w:customStyle="1" w:styleId="Heading4Char">
    <w:name w:val="Heading 4 Char"/>
    <w:basedOn w:val="DefaultParagraphFont"/>
    <w:link w:val="Heading4"/>
    <w:uiPriority w:val="9"/>
    <w:rsid w:val="00091071"/>
    <w:rPr>
      <w:rFonts w:asciiTheme="majorHAnsi" w:eastAsiaTheme="majorEastAsia" w:hAnsiTheme="majorHAnsi" w:cstheme="majorBidi"/>
      <w:b/>
      <w:bCs/>
      <w:i/>
      <w:iCs/>
      <w:color w:val="5B9BD5" w:themeColor="accent1"/>
    </w:rPr>
  </w:style>
  <w:style w:type="paragraph" w:styleId="FootnoteText">
    <w:name w:val="footnote text"/>
    <w:basedOn w:val="Normal"/>
    <w:link w:val="FootnoteTextChar"/>
    <w:autoRedefine/>
    <w:uiPriority w:val="99"/>
    <w:unhideWhenUsed/>
    <w:rsid w:val="002B0C9B"/>
    <w:rPr>
      <w:szCs w:val="20"/>
    </w:rPr>
  </w:style>
  <w:style w:type="character" w:customStyle="1" w:styleId="FootnoteTextChar">
    <w:name w:val="Footnote Text Char"/>
    <w:basedOn w:val="DefaultParagraphFont"/>
    <w:link w:val="FootnoteText"/>
    <w:uiPriority w:val="99"/>
    <w:rsid w:val="002B0C9B"/>
    <w:rPr>
      <w:rFonts w:ascii="Times New Roman" w:eastAsiaTheme="minorHAnsi" w:hAnsi="Times New Roman"/>
      <w:sz w:val="24"/>
      <w:szCs w:val="20"/>
    </w:rPr>
  </w:style>
  <w:style w:type="paragraph" w:styleId="Header">
    <w:name w:val="header"/>
    <w:basedOn w:val="Normal"/>
    <w:link w:val="HeaderChar"/>
    <w:uiPriority w:val="99"/>
    <w:unhideWhenUsed/>
    <w:rsid w:val="002B0C9B"/>
    <w:pPr>
      <w:tabs>
        <w:tab w:val="center" w:pos="4680"/>
        <w:tab w:val="right" w:pos="9360"/>
      </w:tabs>
    </w:pPr>
  </w:style>
  <w:style w:type="character" w:customStyle="1" w:styleId="HeaderChar">
    <w:name w:val="Header Char"/>
    <w:basedOn w:val="DefaultParagraphFont"/>
    <w:link w:val="Header"/>
    <w:uiPriority w:val="99"/>
    <w:rsid w:val="002B0C9B"/>
    <w:rPr>
      <w:rFonts w:ascii="Times New Roman" w:hAnsi="Times New Roman" w:cs="Times New Roman"/>
      <w:sz w:val="28"/>
      <w:szCs w:val="28"/>
    </w:rPr>
  </w:style>
  <w:style w:type="paragraph" w:styleId="Footer">
    <w:name w:val="footer"/>
    <w:basedOn w:val="Normal"/>
    <w:link w:val="FooterChar"/>
    <w:uiPriority w:val="99"/>
    <w:unhideWhenUsed/>
    <w:rsid w:val="002B0C9B"/>
    <w:pPr>
      <w:tabs>
        <w:tab w:val="center" w:pos="4680"/>
        <w:tab w:val="right" w:pos="9360"/>
      </w:tabs>
    </w:pPr>
  </w:style>
  <w:style w:type="character" w:customStyle="1" w:styleId="FooterChar">
    <w:name w:val="Footer Char"/>
    <w:basedOn w:val="DefaultParagraphFont"/>
    <w:link w:val="Footer"/>
    <w:uiPriority w:val="99"/>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szCs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uiPriority w:val="10"/>
    <w:qFormat/>
    <w:rsid w:val="00091071"/>
    <w:pPr>
      <w:pBdr>
        <w:bottom w:val="single" w:sz="8" w:space="4" w:color="5B9BD5"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91071"/>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qFormat/>
    <w:rsid w:val="00C10E52"/>
    <w:pPr>
      <w:spacing w:before="0" w:after="0" w:line="240" w:lineRule="auto"/>
      <w:ind w:firstLine="0"/>
      <w:contextualSpacing/>
    </w:pPr>
    <w:rPr>
      <w:rFonts w:eastAsiaTheme="minorHAnsi"/>
      <w:color w:val="000000"/>
      <w:szCs w:val="24"/>
    </w:rPr>
  </w:style>
  <w:style w:type="character" w:customStyle="1" w:styleId="FootnoteChar">
    <w:name w:val="Footnote Char"/>
    <w:basedOn w:val="FootnoteTextChar"/>
    <w:link w:val="Footnote"/>
    <w:rsid w:val="00C10E52"/>
    <w:rPr>
      <w:rFonts w:ascii="Times New Roman" w:eastAsiaTheme="minorHAnsi" w:hAnsi="Times New Roman"/>
      <w:color w:val="000000"/>
      <w:sz w:val="24"/>
      <w:szCs w:val="24"/>
    </w:rPr>
  </w:style>
  <w:style w:type="paragraph" w:styleId="TOAHeading">
    <w:name w:val="toa heading"/>
    <w:basedOn w:val="Normal"/>
    <w:next w:val="Normal"/>
    <w:autoRedefine/>
    <w:uiPriority w:val="99"/>
    <w:unhideWhenUsed/>
    <w:qFormat/>
    <w:rsid w:val="00091071"/>
    <w:pPr>
      <w:ind w:firstLine="360"/>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2B0C9B"/>
    <w:pPr>
      <w:spacing w:after="120"/>
      <w:ind w:left="274"/>
    </w:pPr>
  </w:style>
  <w:style w:type="paragraph" w:styleId="TOC3">
    <w:name w:val="toc 3"/>
    <w:basedOn w:val="Normal"/>
    <w:next w:val="Normal"/>
    <w:autoRedefine/>
    <w:uiPriority w:val="39"/>
    <w:semiHidden/>
    <w:unhideWhenUsed/>
    <w:rsid w:val="002B0C9B"/>
    <w:pPr>
      <w:spacing w:after="120"/>
      <w:ind w:left="562"/>
    </w:pPr>
  </w:style>
  <w:style w:type="paragraph" w:styleId="TableofAuthorities">
    <w:name w:val="table of authorities"/>
    <w:basedOn w:val="Normal"/>
    <w:next w:val="Normal"/>
    <w:uiPriority w:val="99"/>
    <w:unhideWhenUsed/>
    <w:rsid w:val="002B0C9B"/>
    <w:pPr>
      <w:spacing w:before="240"/>
      <w:ind w:left="274" w:hanging="274"/>
    </w:p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semiHidden/>
    <w:unhideWhenUsed/>
    <w:rsid w:val="002B0C9B"/>
    <w:pPr>
      <w:spacing w:before="100" w:beforeAutospacing="1"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2</Pages>
  <Words>490</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Rik</dc:creator>
  <cp:lastModifiedBy>Rik</cp:lastModifiedBy>
  <cp:revision>2</cp:revision>
  <dcterms:created xsi:type="dcterms:W3CDTF">2023-09-02T14:34:00Z</dcterms:created>
  <dcterms:modified xsi:type="dcterms:W3CDTF">2023-09-04T15:19:00Z</dcterms:modified>
</cp:coreProperties>
</file>