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86E9A" w14:textId="77777777" w:rsidR="00B57B51" w:rsidRPr="00B57B51" w:rsidRDefault="00B57B51" w:rsidP="00B57B51">
      <w:pPr>
        <w:spacing w:before="120" w:after="240" w:line="480" w:lineRule="auto"/>
        <w:ind w:firstLine="720"/>
        <w:rPr>
          <w:rFonts w:ascii="Times New Roman" w:eastAsia="Times New Roman" w:hAnsi="Times New Roman" w:cs="Times New Roman"/>
          <w:sz w:val="24"/>
          <w:szCs w:val="24"/>
        </w:rPr>
      </w:pPr>
      <w:bookmarkStart w:id="0" w:name="_GoBack"/>
      <w:bookmarkEnd w:id="0"/>
      <w:r w:rsidRPr="00B57B51">
        <w:rPr>
          <w:rFonts w:ascii="Times New Roman" w:eastAsia="Times New Roman" w:hAnsi="Times New Roman" w:cs="Times New Roman"/>
          <w:sz w:val="24"/>
          <w:szCs w:val="24"/>
        </w:rPr>
        <w:t xml:space="preserve">The question here is: How did the -402 file get created without a proper case filing when it was not remanded (returned), was not transferred and was not “refiled” in the probate court? There is no proof of service of the filing of Candace Curtis federal lawsuit in the probate court. </w:t>
      </w:r>
    </w:p>
    <w:p w14:paraId="1E57D9D2" w14:textId="77777777" w:rsidR="00B57B51" w:rsidRPr="00B57B51" w:rsidRDefault="00B57B51" w:rsidP="00B57B51">
      <w:pPr>
        <w:spacing w:before="120" w:after="240" w:line="480" w:lineRule="auto"/>
        <w:ind w:firstLine="720"/>
        <w:rPr>
          <w:rFonts w:ascii="Times New Roman" w:eastAsia="Times New Roman" w:hAnsi="Times New Roman" w:cs="Times New Roman"/>
          <w:sz w:val="24"/>
          <w:szCs w:val="24"/>
        </w:rPr>
      </w:pPr>
      <w:r w:rsidRPr="00B57B51">
        <w:rPr>
          <w:rFonts w:ascii="Times New Roman" w:eastAsia="Times New Roman" w:hAnsi="Times New Roman" w:cs="Times New Roman"/>
          <w:sz w:val="24"/>
          <w:szCs w:val="24"/>
        </w:rPr>
        <w:t xml:space="preserve">The -402 action is allegedly “estate of Nelva Brunsting 412249-402” which is clearly not the federal case. After Carl’s resignation the estate was without an estate representative and “estate of Nelva Brunsting 412249-402” was allegedly dissolved into “estate of Nelva Brunsting 412249-401” by an agreed order, among the attorneys, to consolidate “estate of Nelva Brunsting 412249-402” with “estate of Nelva Brunsting 412249-401”, wherein the -402 file, having never been properly opened, was closed to further filing. </w:t>
      </w:r>
    </w:p>
    <w:p w14:paraId="2B4C18E5"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 xml:space="preserve">Ostroms </w:t>
      </w:r>
      <w:hyperlink r:id="rId6" w:history="1">
        <w:r w:rsidRPr="00B57B51">
          <w:rPr>
            <w:rFonts w:ascii="Times New Roman" w:eastAsia="Times New Roman" w:hAnsi="Times New Roman" w:cs="Times New Roman"/>
            <w:color w:val="0000FF"/>
            <w:sz w:val="24"/>
            <w:szCs w:val="24"/>
            <w:u w:val="single"/>
          </w:rPr>
          <w:t>motion to enter remand of the federal case as if it was a transfer</w:t>
        </w:r>
      </w:hyperlink>
      <w:r w:rsidRPr="00B57B51">
        <w:rPr>
          <w:rFonts w:ascii="Times New Roman" w:eastAsia="Times New Roman" w:hAnsi="Times New Roman" w:cs="Times New Roman"/>
          <w:color w:val="000000"/>
          <w:sz w:val="24"/>
          <w:szCs w:val="24"/>
        </w:rPr>
        <w:t xml:space="preserve"> of estate of Nelva Brunsting</w:t>
      </w:r>
    </w:p>
    <w:p w14:paraId="2163C73C" w14:textId="77777777" w:rsidR="00B57B51" w:rsidRPr="00B57B51" w:rsidRDefault="00B66734"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hyperlink r:id="rId7" w:history="1">
        <w:r w:rsidR="00B57B51" w:rsidRPr="00B57B51">
          <w:rPr>
            <w:rFonts w:ascii="Times New Roman" w:eastAsia="Times New Roman" w:hAnsi="Times New Roman" w:cs="Times New Roman"/>
            <w:color w:val="0000FF"/>
            <w:sz w:val="24"/>
            <w:szCs w:val="24"/>
            <w:u w:val="single"/>
          </w:rPr>
          <w:t>Order accepting remand</w:t>
        </w:r>
      </w:hyperlink>
      <w:r w:rsidR="00B57B51" w:rsidRPr="00B57B51">
        <w:rPr>
          <w:rFonts w:ascii="Times New Roman" w:eastAsia="Times New Roman" w:hAnsi="Times New Roman" w:cs="Times New Roman"/>
          <w:color w:val="000000"/>
          <w:sz w:val="24"/>
          <w:szCs w:val="24"/>
        </w:rPr>
        <w:t xml:space="preserve"> of the federal case as a transfer of estate of Nelva Brunsting</w:t>
      </w:r>
    </w:p>
    <w:p w14:paraId="0BDF0B90" w14:textId="77777777" w:rsidR="00B57B51" w:rsidRPr="00B57B51" w:rsidRDefault="00B66734"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hyperlink r:id="rId8" w:history="1">
        <w:r w:rsidR="00B57B51" w:rsidRPr="00B57B51">
          <w:rPr>
            <w:rFonts w:ascii="Times New Roman" w:eastAsia="Times New Roman" w:hAnsi="Times New Roman" w:cs="Times New Roman"/>
            <w:color w:val="0000FF"/>
            <w:sz w:val="24"/>
            <w:szCs w:val="24"/>
            <w:u w:val="single"/>
          </w:rPr>
          <w:t>Carl’s February 17, 2015 resignation</w:t>
        </w:r>
      </w:hyperlink>
      <w:r w:rsidR="00B57B51" w:rsidRPr="00B57B51">
        <w:rPr>
          <w:rFonts w:ascii="Times New Roman" w:eastAsia="Times New Roman" w:hAnsi="Times New Roman" w:cs="Times New Roman"/>
          <w:color w:val="000000"/>
          <w:sz w:val="24"/>
          <w:szCs w:val="24"/>
        </w:rPr>
        <w:t xml:space="preserve"> </w:t>
      </w:r>
    </w:p>
    <w:p w14:paraId="06CB40B9" w14:textId="77777777" w:rsidR="00B57B51" w:rsidRPr="00B57B51" w:rsidRDefault="00B66734"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Courier New" w:eastAsia="Times New Roman" w:hAnsi="Courier New" w:cs="Courier New"/>
          <w:color w:val="000000"/>
          <w:sz w:val="20"/>
          <w:szCs w:val="20"/>
        </w:rPr>
      </w:pPr>
      <w:hyperlink r:id="rId9" w:history="1">
        <w:r w:rsidR="00B57B51" w:rsidRPr="00B57B51">
          <w:rPr>
            <w:rFonts w:ascii="Courier New" w:eastAsia="Times New Roman" w:hAnsi="Courier New" w:cs="Courier New"/>
            <w:color w:val="0000FF"/>
            <w:sz w:val="20"/>
            <w:szCs w:val="20"/>
            <w:u w:val="single"/>
          </w:rPr>
          <w:t>Tab 28 2015-02-20 Case 412249-401 Agreed Docket Control Order_Certified.pdf</w:t>
        </w:r>
      </w:hyperlink>
    </w:p>
    <w:p w14:paraId="3E7EAF88"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2015-03-05 The Attorneys “</w:t>
      </w:r>
      <w:hyperlink r:id="rId10" w:history="1">
        <w:r w:rsidRPr="00B57B51">
          <w:rPr>
            <w:rFonts w:ascii="Times New Roman" w:eastAsia="Times New Roman" w:hAnsi="Times New Roman" w:cs="Times New Roman"/>
            <w:color w:val="0000FF"/>
            <w:sz w:val="24"/>
            <w:szCs w:val="24"/>
            <w:u w:val="single"/>
          </w:rPr>
          <w:t>Agreed Order to Consolidate</w:t>
        </w:r>
      </w:hyperlink>
      <w:r w:rsidRPr="00B57B51">
        <w:rPr>
          <w:rFonts w:ascii="Times New Roman" w:eastAsia="Times New Roman" w:hAnsi="Times New Roman" w:cs="Times New Roman"/>
          <w:color w:val="000000"/>
          <w:sz w:val="24"/>
          <w:szCs w:val="24"/>
        </w:rPr>
        <w:t>”</w:t>
      </w:r>
    </w:p>
    <w:p w14:paraId="1D20C256"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 xml:space="preserve">2019-11-04 </w:t>
      </w:r>
      <w:hyperlink r:id="rId11" w:history="1">
        <w:r w:rsidRPr="00B57B51">
          <w:rPr>
            <w:rFonts w:ascii="Times New Roman" w:eastAsia="Times New Roman" w:hAnsi="Times New Roman" w:cs="Times New Roman"/>
            <w:color w:val="0000FF"/>
            <w:sz w:val="24"/>
            <w:szCs w:val="24"/>
            <w:u w:val="single"/>
          </w:rPr>
          <w:t>2019-11-04 Amy &amp; Anita Brunsting Orig. Counterclaim in -401</w:t>
        </w:r>
      </w:hyperlink>
    </w:p>
    <w:p w14:paraId="0CCC0D20"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 xml:space="preserve">2022-03-18 </w:t>
      </w:r>
      <w:hyperlink r:id="rId12" w:history="1">
        <w:r w:rsidRPr="00B57B51">
          <w:rPr>
            <w:rFonts w:ascii="Times New Roman" w:eastAsia="Times New Roman" w:hAnsi="Times New Roman" w:cs="Times New Roman"/>
            <w:color w:val="0000FF"/>
            <w:sz w:val="24"/>
            <w:szCs w:val="24"/>
            <w:u w:val="single"/>
          </w:rPr>
          <w:t>Carl &amp; Carole non-suit</w:t>
        </w:r>
      </w:hyperlink>
      <w:r w:rsidRPr="00B57B51">
        <w:rPr>
          <w:rFonts w:ascii="Times New Roman" w:eastAsia="Times New Roman" w:hAnsi="Times New Roman" w:cs="Times New Roman"/>
          <w:color w:val="000000"/>
          <w:sz w:val="24"/>
          <w:szCs w:val="24"/>
        </w:rPr>
        <w:t xml:space="preserve">: Carl and Carole agree to nonsuit their claims against one another. </w:t>
      </w:r>
    </w:p>
    <w:p w14:paraId="0B203ABA"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 xml:space="preserve">Tab 44 </w:t>
      </w:r>
      <w:hyperlink r:id="rId13" w:history="1">
        <w:r w:rsidRPr="00B57B51">
          <w:rPr>
            <w:rFonts w:ascii="Times New Roman" w:eastAsia="Times New Roman" w:hAnsi="Times New Roman" w:cs="Times New Roman"/>
            <w:color w:val="0000FF"/>
            <w:sz w:val="24"/>
            <w:szCs w:val="24"/>
            <w:u w:val="single"/>
          </w:rPr>
          <w:t>Drina’s 2022-03-18 Notice of non-</w:t>
        </w:r>
        <w:proofErr w:type="spellStart"/>
        <w:r w:rsidRPr="00B57B51">
          <w:rPr>
            <w:rFonts w:ascii="Times New Roman" w:eastAsia="Times New Roman" w:hAnsi="Times New Roman" w:cs="Times New Roman"/>
            <w:color w:val="0000FF"/>
            <w:sz w:val="24"/>
            <w:szCs w:val="24"/>
            <w:u w:val="single"/>
          </w:rPr>
          <w:t>suit</w:t>
        </w:r>
      </w:hyperlink>
      <w:r w:rsidRPr="00B57B51">
        <w:rPr>
          <w:rFonts w:ascii="Times New Roman" w:eastAsia="Times New Roman" w:hAnsi="Times New Roman" w:cs="Times New Roman"/>
          <w:color w:val="000000"/>
          <w:sz w:val="24"/>
          <w:szCs w:val="24"/>
        </w:rPr>
        <w:t>__Certified</w:t>
      </w:r>
      <w:proofErr w:type="spellEnd"/>
      <w:r w:rsidRPr="00B57B51">
        <w:rPr>
          <w:rFonts w:ascii="Times New Roman" w:eastAsia="Times New Roman" w:hAnsi="Times New Roman" w:cs="Times New Roman"/>
          <w:color w:val="000000"/>
          <w:sz w:val="24"/>
          <w:szCs w:val="24"/>
        </w:rPr>
        <w:t>: Carl files notice of nonsuit of nominal defendant Candace Curtis</w:t>
      </w:r>
    </w:p>
    <w:p w14:paraId="6E79AA97" w14:textId="77777777" w:rsidR="00B57B51" w:rsidRPr="00B57B51" w:rsidRDefault="00B57B51" w:rsidP="00B57B51">
      <w:pPr>
        <w:widowControl w:val="0"/>
        <w:numPr>
          <w:ilvl w:val="0"/>
          <w:numId w:val="1"/>
        </w:numPr>
        <w:autoSpaceDE w:val="0"/>
        <w:autoSpaceDN w:val="0"/>
        <w:adjustRightInd w:val="0"/>
        <w:spacing w:before="120" w:after="240" w:line="240" w:lineRule="auto"/>
        <w:ind w:left="0" w:firstLine="0"/>
        <w:contextualSpacing/>
        <w:textboxTightWrap w:val="allLines"/>
        <w:rPr>
          <w:rFonts w:ascii="Times New Roman" w:eastAsia="Times New Roman" w:hAnsi="Times New Roman" w:cs="Times New Roman"/>
          <w:color w:val="000000"/>
          <w:sz w:val="24"/>
          <w:szCs w:val="24"/>
        </w:rPr>
      </w:pPr>
      <w:r w:rsidRPr="00B57B51">
        <w:rPr>
          <w:rFonts w:ascii="Times New Roman" w:eastAsia="Times New Roman" w:hAnsi="Times New Roman" w:cs="Times New Roman"/>
          <w:color w:val="000000"/>
          <w:sz w:val="24"/>
          <w:szCs w:val="24"/>
        </w:rPr>
        <w:t xml:space="preserve">Certified 18210428- C# 4 </w:t>
      </w:r>
      <w:hyperlink r:id="rId14" w:history="1">
        <w:r w:rsidRPr="00B57B51">
          <w:rPr>
            <w:rFonts w:ascii="Times New Roman" w:eastAsia="Times New Roman" w:hAnsi="Times New Roman" w:cs="Times New Roman"/>
            <w:color w:val="0000FF"/>
            <w:sz w:val="24"/>
            <w:szCs w:val="24"/>
            <w:u w:val="single"/>
          </w:rPr>
          <w:t>Rule 11 Agreement</w:t>
        </w:r>
      </w:hyperlink>
      <w:r w:rsidRPr="00B57B51">
        <w:rPr>
          <w:rFonts w:ascii="Times New Roman" w:eastAsia="Times New Roman" w:hAnsi="Times New Roman" w:cs="Times New Roman"/>
          <w:color w:val="000000"/>
          <w:sz w:val="24"/>
          <w:szCs w:val="24"/>
        </w:rPr>
        <w:t xml:space="preserve"> 2021-12-05 Certified: Drina agrees to Carl’s nonsuit of Anita and Amy and, Anita and Amy agree to nonsuit Carl.</w:t>
      </w:r>
    </w:p>
    <w:p w14:paraId="4C924576" w14:textId="3CC889C6" w:rsidR="00B57B51" w:rsidRPr="00B57B51" w:rsidRDefault="00B57B51" w:rsidP="00B57B51">
      <w:pPr>
        <w:spacing w:before="120" w:after="240" w:line="480" w:lineRule="auto"/>
        <w:ind w:firstLine="720"/>
        <w:rPr>
          <w:rFonts w:ascii="Times New Roman" w:eastAsia="Times New Roman" w:hAnsi="Times New Roman" w:cs="Times New Roman"/>
          <w:sz w:val="24"/>
          <w:szCs w:val="24"/>
        </w:rPr>
      </w:pPr>
      <w:r w:rsidRPr="00B57B51">
        <w:rPr>
          <w:rFonts w:ascii="Times New Roman" w:eastAsia="Times New Roman" w:hAnsi="Times New Roman" w:cs="Times New Roman"/>
          <w:sz w:val="24"/>
          <w:szCs w:val="24"/>
        </w:rPr>
        <w:t>All of these acts would leave the impression that Candace Curtis was the only plaintiff remaining in “estate of Nelva Brunsting 412,249-401” and that Anita Brunsting and Amy Brunsting remained in the -401 as counter-plaintiffs’</w:t>
      </w:r>
      <w:r>
        <w:rPr>
          <w:rFonts w:ascii="Times New Roman" w:eastAsia="Times New Roman" w:hAnsi="Times New Roman" w:cs="Times New Roman"/>
          <w:sz w:val="24"/>
          <w:szCs w:val="24"/>
        </w:rPr>
        <w:t xml:space="preserve">. </w:t>
      </w:r>
      <w:r w:rsidRPr="00B57B51">
        <w:rPr>
          <w:rFonts w:ascii="Times New Roman" w:eastAsia="Times New Roman" w:hAnsi="Times New Roman" w:cs="Times New Roman"/>
          <w:sz w:val="24"/>
          <w:szCs w:val="24"/>
        </w:rPr>
        <w:t xml:space="preserve"> </w:t>
      </w:r>
    </w:p>
    <w:p w14:paraId="227F9B35" w14:textId="77777777" w:rsidR="00B57B51" w:rsidRPr="00B57B51" w:rsidRDefault="00B57B51" w:rsidP="00B57B51">
      <w:pPr>
        <w:spacing w:before="120" w:after="240" w:line="480" w:lineRule="auto"/>
        <w:ind w:firstLine="720"/>
        <w:rPr>
          <w:rFonts w:ascii="Times New Roman" w:eastAsia="Times New Roman" w:hAnsi="Times New Roman" w:cs="Times New Roman"/>
          <w:sz w:val="24"/>
          <w:szCs w:val="24"/>
        </w:rPr>
      </w:pPr>
      <w:r w:rsidRPr="00B57B51">
        <w:rPr>
          <w:rFonts w:ascii="Times New Roman" w:eastAsia="Times New Roman" w:hAnsi="Times New Roman" w:cs="Times New Roman"/>
          <w:sz w:val="24"/>
          <w:szCs w:val="24"/>
        </w:rPr>
        <w:t xml:space="preserve">There are no proofs of service for the filing of any estate of Nelva Brunsting 412,249-402 action. </w:t>
      </w:r>
      <w:r w:rsidRPr="00B57B51">
        <w:rPr>
          <w:rFonts w:ascii="Times New Roman" w:eastAsia="Times New Roman" w:hAnsi="Times New Roman" w:cs="Times New Roman"/>
          <w:i/>
          <w:sz w:val="24"/>
          <w:szCs w:val="24"/>
        </w:rPr>
        <w:t xml:space="preserve">Candace Louise Curtis vs Anita Brunsting, Amy Brunsting and Does 1 to 100 in the Southern District of Texas </w:t>
      </w:r>
      <w:r w:rsidRPr="00B57B51">
        <w:rPr>
          <w:rFonts w:ascii="Times New Roman" w:eastAsia="Times New Roman" w:hAnsi="Times New Roman" w:cs="Times New Roman"/>
          <w:sz w:val="24"/>
          <w:szCs w:val="24"/>
        </w:rPr>
        <w:t>is clearly not the estate of Nelva Brunsting by any number, see Curtis v Brunsting 704 F.3d 406. [SDTX Dkt 24]</w:t>
      </w:r>
    </w:p>
    <w:p w14:paraId="147203D8" w14:textId="77777777" w:rsidR="00B57B51" w:rsidRPr="00B57B51" w:rsidRDefault="00B57B51" w:rsidP="00B57B51">
      <w:pPr>
        <w:spacing w:before="120" w:after="240" w:line="480" w:lineRule="auto"/>
        <w:ind w:firstLine="720"/>
        <w:rPr>
          <w:rFonts w:ascii="Times New Roman" w:eastAsia="Times New Roman" w:hAnsi="Times New Roman" w:cs="Times New Roman"/>
          <w:sz w:val="24"/>
          <w:szCs w:val="24"/>
        </w:rPr>
      </w:pPr>
      <w:r w:rsidRPr="00B57B51">
        <w:rPr>
          <w:rFonts w:ascii="Times New Roman" w:eastAsia="Times New Roman" w:hAnsi="Times New Roman" w:cs="Times New Roman"/>
          <w:sz w:val="24"/>
          <w:szCs w:val="24"/>
        </w:rPr>
        <w:t xml:space="preserve">There are no proofs of service for the filing of Anita and Amy Brunsting’s alleged counter claims, (filed more than six years after their original answer [Dkt 29] in SDTX). All you will find is Candace Curtis </w:t>
      </w:r>
      <w:hyperlink r:id="rId15" w:history="1">
        <w:r w:rsidRPr="00B57B51">
          <w:rPr>
            <w:rFonts w:ascii="Times New Roman" w:eastAsia="Times New Roman" w:hAnsi="Times New Roman" w:cs="Times New Roman"/>
            <w:color w:val="0000FF"/>
            <w:sz w:val="24"/>
            <w:szCs w:val="24"/>
            <w:u w:val="single"/>
          </w:rPr>
          <w:t>waiver of service</w:t>
        </w:r>
      </w:hyperlink>
      <w:r w:rsidRPr="00B57B51">
        <w:rPr>
          <w:rFonts w:ascii="Times New Roman" w:eastAsia="Times New Roman" w:hAnsi="Times New Roman" w:cs="Times New Roman"/>
          <w:sz w:val="24"/>
          <w:szCs w:val="24"/>
        </w:rPr>
        <w:t xml:space="preserve"> as a Nominal Defendant. </w:t>
      </w:r>
    </w:p>
    <w:p w14:paraId="744A97D5" w14:textId="77777777" w:rsidR="00B57B51" w:rsidRDefault="00B57B51"/>
    <w:sectPr w:rsidR="00B57B51" w:rsidSect="00897D7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51"/>
    <w:rsid w:val="00200B23"/>
    <w:rsid w:val="00B57B51"/>
    <w:rsid w:val="00B6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Para1">
    <w:name w:val="Num Para 1"/>
    <w:basedOn w:val="ListParagraph"/>
    <w:link w:val="NumPara1Char"/>
    <w:autoRedefine/>
    <w:qFormat/>
    <w:rsid w:val="00B57B51"/>
    <w:pPr>
      <w:widowControl w:val="0"/>
      <w:numPr>
        <w:numId w:val="1"/>
      </w:numPr>
      <w:autoSpaceDE w:val="0"/>
      <w:autoSpaceDN w:val="0"/>
      <w:adjustRightInd w:val="0"/>
      <w:spacing w:before="120" w:after="240" w:line="240" w:lineRule="auto"/>
      <w:ind w:left="0" w:firstLine="0"/>
      <w:textboxTightWrap w:val="allLines"/>
    </w:pPr>
    <w:rPr>
      <w:rFonts w:ascii="Times New Roman" w:eastAsia="Times New Roman" w:hAnsi="Times New Roman" w:cs="Times New Roman"/>
      <w:color w:val="000000"/>
      <w:sz w:val="24"/>
      <w:szCs w:val="24"/>
    </w:rPr>
  </w:style>
  <w:style w:type="character" w:customStyle="1" w:styleId="NumPara1Char">
    <w:name w:val="Num Para 1 Char"/>
    <w:basedOn w:val="DefaultParagraphFont"/>
    <w:link w:val="NumPara1"/>
    <w:locked/>
    <w:rsid w:val="00B57B51"/>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57B51"/>
    <w:rPr>
      <w:rFonts w:cs="Times New Roman"/>
      <w:color w:val="0000FF"/>
      <w:u w:val="single"/>
    </w:rPr>
  </w:style>
  <w:style w:type="paragraph" w:styleId="ListParagraph">
    <w:name w:val="List Paragraph"/>
    <w:basedOn w:val="Normal"/>
    <w:uiPriority w:val="34"/>
    <w:qFormat/>
    <w:rsid w:val="00B57B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Para1">
    <w:name w:val="Num Para 1"/>
    <w:basedOn w:val="ListParagraph"/>
    <w:link w:val="NumPara1Char"/>
    <w:autoRedefine/>
    <w:qFormat/>
    <w:rsid w:val="00B57B51"/>
    <w:pPr>
      <w:widowControl w:val="0"/>
      <w:numPr>
        <w:numId w:val="1"/>
      </w:numPr>
      <w:autoSpaceDE w:val="0"/>
      <w:autoSpaceDN w:val="0"/>
      <w:adjustRightInd w:val="0"/>
      <w:spacing w:before="120" w:after="240" w:line="240" w:lineRule="auto"/>
      <w:ind w:left="0" w:firstLine="0"/>
      <w:textboxTightWrap w:val="allLines"/>
    </w:pPr>
    <w:rPr>
      <w:rFonts w:ascii="Times New Roman" w:eastAsia="Times New Roman" w:hAnsi="Times New Roman" w:cs="Times New Roman"/>
      <w:color w:val="000000"/>
      <w:sz w:val="24"/>
      <w:szCs w:val="24"/>
    </w:rPr>
  </w:style>
  <w:style w:type="character" w:customStyle="1" w:styleId="NumPara1Char">
    <w:name w:val="Num Para 1 Char"/>
    <w:basedOn w:val="DefaultParagraphFont"/>
    <w:link w:val="NumPara1"/>
    <w:locked/>
    <w:rsid w:val="00B57B51"/>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57B51"/>
    <w:rPr>
      <w:rFonts w:cs="Times New Roman"/>
      <w:color w:val="0000FF"/>
      <w:u w:val="single"/>
    </w:rPr>
  </w:style>
  <w:style w:type="paragraph" w:styleId="ListParagraph">
    <w:name w:val="List Paragraph"/>
    <w:basedOn w:val="Normal"/>
    <w:uiPriority w:val="34"/>
    <w:qFormat/>
    <w:rsid w:val="00B5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temafia.com/Brunsting/Tab%2027%202015-02-19%20Case%20412248%20PBT-2015-57597%20Carl%20Resignation_Certified.pdf" TargetMode="External"/><Relationship Id="rId13" Type="http://schemas.openxmlformats.org/officeDocument/2006/relationships/hyperlink" Target="http://www.probatemafia.com/Brunsting/Tab%2044%202022-03-18%20Carl's%20Notice%20of%20non-suit%20of%20relator__Certified.pdf" TargetMode="External"/><Relationship Id="rId3" Type="http://schemas.microsoft.com/office/2007/relationships/stylesWithEffects" Target="stylesWithEffects.xml"/><Relationship Id="rId7" Type="http://schemas.openxmlformats.org/officeDocument/2006/relationships/hyperlink" Target="http://www.probatemafia.com/Brunsting/2014-05-22%20Order%20accepting%20Remand.pdf" TargetMode="External"/><Relationship Id="rId12" Type="http://schemas.openxmlformats.org/officeDocument/2006/relationships/hyperlink" Target="http://www.probatemafia.com/Brunsting/2022-03-18%20Carl%20&amp;%20carole%20non-sui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batemafia.com/Brunsting/Tab%2026%20%202014-06-05%20412249-401%20Motion%20to%20Enter%20Remand%20as%20a%20Transfer%20and%20Order%20Accepting%20Transfer%20Certified.pdf" TargetMode="External"/><Relationship Id="rId11" Type="http://schemas.openxmlformats.org/officeDocument/2006/relationships/hyperlink" Target="http://www.probatemafia.com/Brunsting/2019-11-04%20Amy%20&amp;%20Anita%20Brunsting%20Orig.%20Counterclaim.pdf" TargetMode="External"/><Relationship Id="rId5" Type="http://schemas.openxmlformats.org/officeDocument/2006/relationships/webSettings" Target="webSettings.xml"/><Relationship Id="rId15" Type="http://schemas.openxmlformats.org/officeDocument/2006/relationships/hyperlink" Target="http://www.probatemafia.com/Brunsting/%5b99%5d%202013-04-22%20PBT-2013-130579%20Candy%20curtis%20waiver%20of%20service.pdf" TargetMode="External"/><Relationship Id="rId10" Type="http://schemas.openxmlformats.org/officeDocument/2006/relationships/hyperlink" Target="http://www.probatemafia.com/Brunsting/Tab%2029%20%202015-03-05%20Agreed%20Order%20to%20Consolidate%20412249-402%20into%20412249-401_Certified.pdf" TargetMode="External"/><Relationship Id="rId4" Type="http://schemas.openxmlformats.org/officeDocument/2006/relationships/settings" Target="settings.xml"/><Relationship Id="rId9" Type="http://schemas.openxmlformats.org/officeDocument/2006/relationships/hyperlink" Target="http://www.probatemafia.com/Brunsting/Tab%2028%202015-02-20%20Case%20412249-401%20Agreed%20Docket%20Control%20Order_Certified.pdf" TargetMode="External"/><Relationship Id="rId14" Type="http://schemas.openxmlformats.org/officeDocument/2006/relationships/hyperlink" Target="http://www.probatemafia.com/Brunsting/Certified%2018210428-%20C%23%204%20Rule%2011%20Agreement%202021-1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2023-08-15T15:17:00Z</dcterms:created>
  <dcterms:modified xsi:type="dcterms:W3CDTF">2023-08-15T15:17:00Z</dcterms:modified>
</cp:coreProperties>
</file>