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DB" w:rsidRDefault="001D04DB" w:rsidP="001D04DB">
      <w:pPr>
        <w:pStyle w:val="blockquote"/>
      </w:pPr>
      <w:r>
        <w:t xml:space="preserve">We note that </w:t>
      </w:r>
      <w:hyperlink r:id="rId8" w:history="1">
        <w:r>
          <w:rPr>
            <w:rStyle w:val="Hyperlink"/>
            <w:rFonts w:eastAsiaTheme="majorEastAsia"/>
          </w:rPr>
          <w:t>section 607 of the Probate Code</w:t>
        </w:r>
      </w:hyperlink>
      <w:r>
        <w:t xml:space="preserve"> also provides that a statutory probate court has concurrent jurisdiction with a district court in all actions by or against a person in the person's capacity as a guardian, "whether or not the matter is appertaining to or incident to a guardianship estate. TEX.PROB. CODE ANN </w:t>
      </w:r>
      <w:hyperlink r:id="rId9" w:history="1">
        <w:r>
          <w:rPr>
            <w:rStyle w:val="Hyperlink"/>
            <w:rFonts w:eastAsiaTheme="majorEastAsia"/>
          </w:rPr>
          <w:t>§ 607 (c)</w:t>
        </w:r>
      </w:hyperlink>
      <w:r>
        <w:t xml:space="preserve">, (e) (Vernon Supp. 1998). Likewise, </w:t>
      </w:r>
      <w:hyperlink r:id="rId10" w:history="1">
        <w:r>
          <w:rPr>
            <w:rStyle w:val="Hyperlink"/>
            <w:rFonts w:eastAsiaTheme="majorEastAsia"/>
          </w:rPr>
          <w:t>section 25.1034 (a) of the Government Code</w:t>
        </w:r>
      </w:hyperlink>
      <w:r>
        <w:t xml:space="preserve"> provides that the statutory probate courts of Harris County have concurrent jurisdiction with the district courts in all actions by or against a personal representative, whether or not the matter is appertaining to or incident to an estate. </w:t>
      </w:r>
      <w:proofErr w:type="spellStart"/>
      <w:r>
        <w:rPr>
          <w:i/>
          <w:iCs/>
        </w:rPr>
        <w:t>See</w:t>
      </w:r>
      <w:hyperlink r:id="rId11" w:history="1">
        <w:r>
          <w:rPr>
            <w:rStyle w:val="Hyperlink"/>
            <w:rFonts w:eastAsiaTheme="majorEastAsia"/>
          </w:rPr>
          <w:t>TEX</w:t>
        </w:r>
        <w:proofErr w:type="spellEnd"/>
        <w:r>
          <w:rPr>
            <w:rStyle w:val="Hyperlink"/>
            <w:rFonts w:eastAsiaTheme="majorEastAsia"/>
          </w:rPr>
          <w:t xml:space="preserve">. </w:t>
        </w:r>
        <w:proofErr w:type="gramStart"/>
        <w:r>
          <w:rPr>
            <w:rStyle w:val="Hyperlink"/>
            <w:rFonts w:eastAsiaTheme="majorEastAsia"/>
          </w:rPr>
          <w:t>GOV'T CODE ANN. § 25.1034 (a)</w:t>
        </w:r>
      </w:hyperlink>
      <w:r>
        <w:t xml:space="preserve"> (Vernon Supp. 1998).</w:t>
      </w:r>
      <w:proofErr w:type="gramEnd"/>
    </w:p>
    <w:p w:rsidR="001D04DB" w:rsidRDefault="001D04DB" w:rsidP="001D04DB">
      <w:pPr>
        <w:pStyle w:val="NormalWeb"/>
      </w:pPr>
      <w:r>
        <w:rPr>
          <w:i/>
          <w:iCs/>
        </w:rPr>
        <w:t>In re J7S Inc.</w:t>
      </w:r>
      <w:r>
        <w:t>, 979 S.W.2d 374, 377 n.2 (Tex. App. 1998)</w:t>
      </w:r>
    </w:p>
    <w:p w:rsidR="00AB4F3E" w:rsidRDefault="00AB4F3E" w:rsidP="00223772">
      <w:pPr>
        <w:pStyle w:val="NoSpacing"/>
      </w:pPr>
    </w:p>
    <w:p w:rsidR="00AB4F3E" w:rsidRDefault="00AB4F3E" w:rsidP="00223772">
      <w:pPr>
        <w:pStyle w:val="NoSpacing"/>
      </w:pPr>
    </w:p>
    <w:p w:rsidR="00AB4F3E" w:rsidRDefault="00AB4F3E" w:rsidP="00223772">
      <w:pPr>
        <w:pStyle w:val="NoSpacing"/>
      </w:pPr>
    </w:p>
    <w:p w:rsidR="00AB4F3E" w:rsidRDefault="00336CDD" w:rsidP="00223772">
      <w:pPr>
        <w:pStyle w:val="NoSpacing"/>
      </w:pPr>
      <w:r>
        <w:t xml:space="preserve">The Lee case is distinguishable from the present case as </w:t>
      </w:r>
      <w:r w:rsidRPr="00AB6FFC">
        <w:t xml:space="preserve">Lee involved </w:t>
      </w:r>
      <w:r>
        <w:t xml:space="preserve">a </w:t>
      </w:r>
      <w:r w:rsidRPr="00AB6FFC">
        <w:t>testamentary trust</w:t>
      </w:r>
      <w:r>
        <w:t xml:space="preserve"> under dependent administration and</w:t>
      </w:r>
      <w:r w:rsidRPr="00AB6FFC">
        <w:t xml:space="preserve"> not an intervivos trust</w:t>
      </w:r>
      <w:r>
        <w:t xml:space="preserve"> under independent administration</w:t>
      </w:r>
      <w:r w:rsidRPr="00AB6FFC">
        <w:t>.</w:t>
      </w:r>
      <w:r>
        <w:t xml:space="preserve"> Local Rule 2.6.4 grants the statutory probate court subject matter jurisdiction over testamentary trusts (except for construction) but Local rule 2.6.5 clearly requires a “pending” probate administration.</w:t>
      </w:r>
    </w:p>
    <w:p w:rsidR="00AB4F3E" w:rsidRDefault="00AB4F3E" w:rsidP="00223772">
      <w:pPr>
        <w:pStyle w:val="NoSpacing"/>
      </w:pPr>
    </w:p>
    <w:p w:rsidR="0028561D" w:rsidRDefault="0028561D" w:rsidP="00AB4F3E">
      <w:pPr>
        <w:pStyle w:val="Heading2"/>
      </w:pPr>
      <w:r>
        <w:t>Void for vagueness</w:t>
      </w:r>
    </w:p>
    <w:p w:rsidR="00941BE3" w:rsidRDefault="00941BE3" w:rsidP="00941BE3">
      <w:r>
        <w:t>Doesn’t Defendant Appellees Summary Judgment Motion place Carl</w:t>
      </w:r>
      <w:r w:rsidRPr="00CB71AE">
        <w:t xml:space="preserve"> under threat of forfeiture</w:t>
      </w:r>
      <w:r>
        <w:t xml:space="preserve"> of trust property</w:t>
      </w:r>
      <w:r w:rsidRPr="00CB71AE">
        <w:t xml:space="preserve"> if he objects to Defendant appellees failure to honor their fiduciary duties? [ROA</w:t>
      </w:r>
      <w:r>
        <w:t xml:space="preserve"> 31-34</w:t>
      </w:r>
      <w:r w:rsidRPr="00CB71AE">
        <w:t>]</w:t>
      </w:r>
      <w:r>
        <w:t xml:space="preserve"> </w:t>
      </w:r>
    </w:p>
    <w:p w:rsidR="0028561D" w:rsidRDefault="0028561D" w:rsidP="00223772">
      <w:pPr>
        <w:pStyle w:val="NoSpacing"/>
      </w:pPr>
    </w:p>
    <w:p w:rsidR="00991876" w:rsidRDefault="00991876" w:rsidP="00223772">
      <w:pPr>
        <w:pStyle w:val="NoSpacing"/>
      </w:pPr>
      <w:r>
        <w:t>Testators have the right to determine the manner in which their legacy will be dis</w:t>
      </w:r>
      <w:r w:rsidR="00223772">
        <w:t>tributed at their passing</w:t>
      </w:r>
      <w:r>
        <w:t xml:space="preserve">. </w:t>
      </w:r>
    </w:p>
    <w:p w:rsidR="0028561D" w:rsidRDefault="0028561D" w:rsidP="00223772">
      <w:pPr>
        <w:pStyle w:val="NoSpacing"/>
      </w:pPr>
    </w:p>
    <w:p w:rsidR="00F93382" w:rsidRPr="00A45FC8" w:rsidRDefault="00F93382" w:rsidP="00F93382">
      <w:pPr>
        <w:pStyle w:val="Heading2"/>
        <w:rPr>
          <w:highlight w:val="yellow"/>
        </w:rPr>
      </w:pPr>
      <w:r w:rsidRPr="00A45FC8">
        <w:rPr>
          <w:highlight w:val="yellow"/>
        </w:rPr>
        <w:t>Failure to State a Claim</w:t>
      </w:r>
    </w:p>
    <w:p w:rsidR="00F93382" w:rsidRPr="00FF27A4" w:rsidRDefault="00F93382" w:rsidP="00F93382">
      <w:r w:rsidRPr="00A45FC8">
        <w:rPr>
          <w:highlight w:val="yellow"/>
        </w:rPr>
        <w:t>Carl Brunsting’s April 9, 2013 probate court filing was filed as ancillary to a pour-over estate that had been under independent administration. The independent administration closed after the verified inventory had been submitted and accepted the month prior to when Carl filed his tort action.</w:t>
      </w:r>
      <w:r w:rsidRPr="00A45FC8">
        <w:rPr>
          <w:rStyle w:val="FootnoteReference"/>
          <w:highlight w:val="yellow"/>
        </w:rPr>
        <w:footnoteReference w:id="1"/>
      </w:r>
      <w:r w:rsidRPr="00FF27A4">
        <w:t xml:space="preserve"> </w:t>
      </w:r>
    </w:p>
    <w:p w:rsidR="0028561D" w:rsidRDefault="0028561D" w:rsidP="00223772">
      <w:pPr>
        <w:pStyle w:val="NoSpacing"/>
      </w:pPr>
    </w:p>
    <w:p w:rsidR="00CB648F" w:rsidRPr="00CB648F" w:rsidRDefault="00CB648F" w:rsidP="00CB648F">
      <w:pPr>
        <w:pStyle w:val="Heading2"/>
      </w:pPr>
      <w:r w:rsidRPr="00CB648F">
        <w:t>Section 32.006 concerns a statutory probate court's independent jurisdiction</w:t>
      </w:r>
    </w:p>
    <w:p w:rsidR="00CB648F" w:rsidRDefault="00CB648F" w:rsidP="00CB648F">
      <w:pPr>
        <w:pStyle w:val="NoSpacing"/>
      </w:pPr>
      <w:hyperlink r:id="rId12" w:history="1">
        <w:r>
          <w:rPr>
            <w:rStyle w:val="Hyperlink"/>
          </w:rPr>
          <w:t>Section 32.006</w:t>
        </w:r>
      </w:hyperlink>
      <w:r>
        <w:t xml:space="preserve"> concerns a statutory probate court's independent jurisdiction, not its jurisdiction over causes related to the probate proceeding</w:t>
      </w:r>
    </w:p>
    <w:p w:rsidR="00CB648F" w:rsidRDefault="00CB648F" w:rsidP="00CB648F">
      <w:pPr>
        <w:pStyle w:val="NoSpacing"/>
      </w:pPr>
    </w:p>
    <w:p w:rsidR="00CB648F" w:rsidRPr="00CB648F" w:rsidRDefault="00CB648F" w:rsidP="009C0DE6">
      <w:hyperlink r:id="rId13" w:history="1">
        <w:r w:rsidRPr="00CB648F">
          <w:rPr>
            <w:rStyle w:val="Hyperlink"/>
            <w:rFonts w:eastAsiaTheme="majorEastAsia"/>
          </w:rPr>
          <w:t>Estate of Campbell v. Campbell</w:t>
        </w:r>
      </w:hyperlink>
      <w:r w:rsidRPr="00CB648F">
        <w:t xml:space="preserve"> </w:t>
      </w:r>
      <w:r w:rsidRPr="00CB648F">
        <w:rPr>
          <w:rStyle w:val="ct-search-result-citation"/>
        </w:rPr>
        <w:t>No. 07-22-00179-CV (Tex. App. May. 11, 2023)</w:t>
      </w:r>
    </w:p>
    <w:p w:rsidR="00CB648F" w:rsidRPr="00CB648F" w:rsidRDefault="00CB648F" w:rsidP="009C0DE6">
      <w:hyperlink r:id="rId14" w:history="1">
        <w:r w:rsidRPr="00CB648F">
          <w:rPr>
            <w:rStyle w:val="Hyperlink"/>
            <w:rFonts w:eastAsiaTheme="majorEastAsia"/>
          </w:rPr>
          <w:t>Harlow v. Harlow</w:t>
        </w:r>
      </w:hyperlink>
      <w:r w:rsidRPr="00CB648F">
        <w:t xml:space="preserve"> </w:t>
      </w:r>
      <w:r w:rsidRPr="00CB648F">
        <w:rPr>
          <w:rStyle w:val="ct-search-result-citation"/>
        </w:rPr>
        <w:t>No. 05-22-00585-CV (Tex. App. May. 3, 2023)</w:t>
      </w:r>
    </w:p>
    <w:p w:rsidR="00CB648F" w:rsidRDefault="00CB648F" w:rsidP="009C0DE6">
      <w:hyperlink r:id="rId15" w:history="1">
        <w:r>
          <w:rPr>
            <w:rStyle w:val="Hyperlink"/>
            <w:rFonts w:eastAsiaTheme="majorEastAsia"/>
          </w:rPr>
          <w:t>Goepp v. Comerica Bank &amp; Trust, N.A.</w:t>
        </w:r>
      </w:hyperlink>
      <w:r>
        <w:t xml:space="preserve"> </w:t>
      </w:r>
      <w:r w:rsidRPr="00991876">
        <w:rPr>
          <w:rStyle w:val="ct-search-result-citation"/>
          <w:highlight w:val="yellow"/>
        </w:rPr>
        <w:t>No. 03-19-00485-CV (Tex. App. Jul. 9, 2021)</w:t>
      </w:r>
    </w:p>
    <w:p w:rsidR="00CB648F" w:rsidRDefault="00CB648F" w:rsidP="009C0DE6">
      <w:hyperlink r:id="rId16" w:history="1">
        <w:proofErr w:type="spellStart"/>
        <w:r>
          <w:rPr>
            <w:rStyle w:val="Hyperlink"/>
            <w:rFonts w:eastAsiaTheme="majorEastAsia"/>
          </w:rPr>
          <w:t>Pense</w:t>
        </w:r>
        <w:proofErr w:type="spellEnd"/>
        <w:r>
          <w:rPr>
            <w:rStyle w:val="Hyperlink"/>
            <w:rFonts w:eastAsiaTheme="majorEastAsia"/>
          </w:rPr>
          <w:t xml:space="preserve"> v. Bennett</w:t>
        </w:r>
      </w:hyperlink>
      <w:r>
        <w:t xml:space="preserve"> </w:t>
      </w:r>
      <w:r>
        <w:rPr>
          <w:rStyle w:val="ct-search-result-citation"/>
        </w:rPr>
        <w:t>No. 06-20-00030-CV (Tex. App. Oct. 8, 2020)</w:t>
      </w:r>
    </w:p>
    <w:p w:rsidR="00CB648F" w:rsidRDefault="00CB648F" w:rsidP="009C0DE6">
      <w:pPr>
        <w:rPr>
          <w:rStyle w:val="ct-search-result-citation"/>
        </w:rPr>
      </w:pPr>
      <w:hyperlink r:id="rId17" w:history="1">
        <w:proofErr w:type="gramStart"/>
        <w:r>
          <w:rPr>
            <w:rStyle w:val="Hyperlink"/>
            <w:rFonts w:eastAsiaTheme="majorEastAsia"/>
          </w:rPr>
          <w:t>In re Estate of Nicholas</w:t>
        </w:r>
      </w:hyperlink>
      <w:r>
        <w:t xml:space="preserve"> </w:t>
      </w:r>
      <w:r>
        <w:rPr>
          <w:rStyle w:val="ct-search-result-citation"/>
        </w:rPr>
        <w:t>NO.</w:t>
      </w:r>
      <w:proofErr w:type="gramEnd"/>
      <w:r>
        <w:rPr>
          <w:rStyle w:val="ct-search-result-citation"/>
        </w:rPr>
        <w:t xml:space="preserve"> 14-19-00716-CV (Tex. App. Mar. 26, 2020)</w:t>
      </w:r>
    </w:p>
    <w:p w:rsidR="00CB648F" w:rsidRDefault="00CB648F" w:rsidP="009C0DE6">
      <w:hyperlink r:id="rId18" w:history="1">
        <w:r>
          <w:rPr>
            <w:rStyle w:val="Hyperlink"/>
            <w:rFonts w:eastAsiaTheme="majorEastAsia"/>
          </w:rPr>
          <w:t>Johnson v. Johnson</w:t>
        </w:r>
      </w:hyperlink>
      <w:r>
        <w:t xml:space="preserve"> </w:t>
      </w:r>
      <w:r w:rsidRPr="00991876">
        <w:rPr>
          <w:rStyle w:val="ct-search-result-citation"/>
          <w:highlight w:val="yellow"/>
        </w:rPr>
        <w:t>No. 04-19-00500-CV (Tex. App. Jan. 15, 2020)</w:t>
      </w:r>
    </w:p>
    <w:p w:rsidR="00CB648F" w:rsidRDefault="00CB648F" w:rsidP="009C0DE6">
      <w:pPr>
        <w:rPr>
          <w:rStyle w:val="ct-search-result-citation"/>
        </w:rPr>
      </w:pPr>
      <w:hyperlink r:id="rId19" w:history="1">
        <w:r>
          <w:rPr>
            <w:rStyle w:val="Hyperlink"/>
            <w:rFonts w:eastAsiaTheme="majorEastAsia"/>
          </w:rPr>
          <w:t>In re Estate of Stegall</w:t>
        </w:r>
      </w:hyperlink>
      <w:r>
        <w:t xml:space="preserve"> </w:t>
      </w:r>
      <w:r>
        <w:rPr>
          <w:rStyle w:val="ct-search-result-citation"/>
        </w:rPr>
        <w:t>No. 02-17-00410-CV (Tex. App. Nov. 21, 2019)</w:t>
      </w:r>
    </w:p>
    <w:p w:rsidR="00CB648F" w:rsidRDefault="00CB648F" w:rsidP="009C0DE6">
      <w:hyperlink r:id="rId20" w:history="1">
        <w:r>
          <w:rPr>
            <w:rStyle w:val="Hyperlink"/>
            <w:rFonts w:eastAsiaTheme="majorEastAsia"/>
          </w:rPr>
          <w:t>Narvaez v. Powell</w:t>
        </w:r>
      </w:hyperlink>
      <w:r>
        <w:t xml:space="preserve"> </w:t>
      </w:r>
      <w:r>
        <w:rPr>
          <w:rStyle w:val="ct-search-result-citation"/>
        </w:rPr>
        <w:t>564 S.W.3d 49 (Tex. App. 2018)</w:t>
      </w:r>
    </w:p>
    <w:p w:rsidR="00CB648F" w:rsidRDefault="00CB648F" w:rsidP="009C0DE6">
      <w:hyperlink r:id="rId21" w:history="1">
        <w:r w:rsidRPr="00CB648F">
          <w:rPr>
            <w:b/>
            <w:bCs/>
            <w:color w:val="0000FF"/>
            <w:u w:val="single"/>
          </w:rPr>
          <w:t>Lee v. Ronald E. Lee Jr., Katherine Lee Stacy, &amp; Legacy Trust Co.</w:t>
        </w:r>
      </w:hyperlink>
      <w:r>
        <w:rPr>
          <w:b/>
          <w:bCs/>
        </w:rPr>
        <w:t xml:space="preserve"> </w:t>
      </w:r>
      <w:r w:rsidRPr="00CB648F">
        <w:t>528 S.W.3d 201 (Tex. App. 2017)</w:t>
      </w:r>
      <w:r w:rsidR="009C0DE6">
        <w:t xml:space="preserve"> </w:t>
      </w:r>
      <w:proofErr w:type="gramStart"/>
      <w:r w:rsidR="009C0DE6">
        <w:t>This</w:t>
      </w:r>
      <w:proofErr w:type="gramEnd"/>
      <w:r w:rsidR="009C0DE6">
        <w:t xml:space="preserve"> case involved a testamentary trust (see L.R. 2.6.4)</w:t>
      </w:r>
    </w:p>
    <w:p w:rsidR="00CB648F" w:rsidRDefault="00CB648F" w:rsidP="009C0DE6">
      <w:hyperlink r:id="rId22" w:history="1">
        <w:r>
          <w:rPr>
            <w:rStyle w:val="Hyperlink"/>
            <w:rFonts w:eastAsiaTheme="majorEastAsia"/>
          </w:rPr>
          <w:t>King v. Deutsche Bank Nat'l Trust Co.</w:t>
        </w:r>
      </w:hyperlink>
      <w:r>
        <w:t xml:space="preserve"> </w:t>
      </w:r>
      <w:r>
        <w:rPr>
          <w:rStyle w:val="ct-search-result-citation"/>
        </w:rPr>
        <w:t>472 S.W.3d 848 (Tex. App. 2015)</w:t>
      </w:r>
    </w:p>
    <w:p w:rsidR="00CB648F" w:rsidRDefault="00CB648F" w:rsidP="009C0DE6">
      <w:hyperlink r:id="rId23" w:history="1">
        <w:r>
          <w:rPr>
            <w:rStyle w:val="Hyperlink"/>
            <w:rFonts w:eastAsiaTheme="majorEastAsia"/>
          </w:rPr>
          <w:t xml:space="preserve">Bloom v. </w:t>
        </w:r>
        <w:proofErr w:type="spellStart"/>
        <w:r>
          <w:rPr>
            <w:rStyle w:val="Hyperlink"/>
            <w:rFonts w:eastAsiaTheme="majorEastAsia"/>
          </w:rPr>
          <w:t>Swango</w:t>
        </w:r>
        <w:proofErr w:type="spellEnd"/>
      </w:hyperlink>
      <w:r>
        <w:t xml:space="preserve"> </w:t>
      </w:r>
      <w:r>
        <w:rPr>
          <w:rStyle w:val="ct-search-result-citation"/>
        </w:rPr>
        <w:t>No. 05-14-01237-CV (Tex. App. Oct. 5, 2015)</w:t>
      </w:r>
    </w:p>
    <w:p w:rsidR="00CB648F" w:rsidRPr="00CB648F" w:rsidRDefault="00CB648F" w:rsidP="009C0DE6">
      <w:pPr>
        <w:rPr>
          <w:b/>
        </w:rPr>
      </w:pPr>
      <w:hyperlink r:id="rId24" w:history="1">
        <w:r w:rsidRPr="00CB648F">
          <w:rPr>
            <w:rStyle w:val="Hyperlink"/>
            <w:rFonts w:eastAsiaTheme="majorEastAsia"/>
            <w:b/>
          </w:rPr>
          <w:t>Davis v. Merriman</w:t>
        </w:r>
      </w:hyperlink>
      <w:r>
        <w:rPr>
          <w:b/>
        </w:rPr>
        <w:t xml:space="preserve"> </w:t>
      </w:r>
      <w:r w:rsidRPr="00CB648F">
        <w:t>No. 04-13-00518-CV (Tex. App. Mar. 4, 2015)</w:t>
      </w:r>
    </w:p>
    <w:p w:rsidR="00CB648F" w:rsidRDefault="00CB648F" w:rsidP="009C0DE6">
      <w:hyperlink r:id="rId25" w:history="1">
        <w:r>
          <w:rPr>
            <w:rStyle w:val="Hyperlink"/>
            <w:rFonts w:eastAsiaTheme="majorEastAsia"/>
          </w:rPr>
          <w:t>Warren v. Weiner</w:t>
        </w:r>
      </w:hyperlink>
      <w:r>
        <w:t xml:space="preserve"> </w:t>
      </w:r>
      <w:r>
        <w:rPr>
          <w:rStyle w:val="ct-search-result-citation"/>
        </w:rPr>
        <w:t>462 S.W.3d 140 (Tex. App. 2015)</w:t>
      </w:r>
    </w:p>
    <w:p w:rsidR="00CB648F" w:rsidRDefault="00CB648F" w:rsidP="009C0DE6">
      <w:hyperlink r:id="rId26" w:history="1">
        <w:r>
          <w:rPr>
            <w:rStyle w:val="Hyperlink"/>
            <w:rFonts w:eastAsiaTheme="majorEastAsia"/>
          </w:rPr>
          <w:t>Reliant Energy v. Gonzalez</w:t>
        </w:r>
      </w:hyperlink>
      <w:r>
        <w:t xml:space="preserve"> </w:t>
      </w:r>
      <w:r>
        <w:rPr>
          <w:rStyle w:val="ct-search-result-citation"/>
        </w:rPr>
        <w:t>No. 01-02-00679-CV (Tex. App. Sep. 6, 2002)</w:t>
      </w:r>
    </w:p>
    <w:p w:rsidR="00CB648F" w:rsidRPr="00A658D1" w:rsidRDefault="00A658D1" w:rsidP="00A658D1">
      <w:pPr>
        <w:pStyle w:val="Heading2"/>
      </w:pPr>
      <w:r w:rsidRPr="00A658D1">
        <w:t>Reviewing the entire record</w:t>
      </w:r>
    </w:p>
    <w:p w:rsidR="00A658D1" w:rsidRDefault="00A658D1" w:rsidP="00A658D1">
      <w:pPr>
        <w:pStyle w:val="Heading3"/>
      </w:pPr>
      <w:r>
        <w:rPr>
          <w:rStyle w:val="serif"/>
        </w:rPr>
        <w:t>B.C. v. Steak N Shake Operations, Inc., 613 S.W.3d 338 (Tex. App. 2020)</w:t>
      </w:r>
    </w:p>
    <w:p w:rsidR="00A658D1" w:rsidRPr="00357F30" w:rsidRDefault="00A658D1" w:rsidP="00357F30">
      <w:pPr>
        <w:pStyle w:val="Quote"/>
      </w:pPr>
      <w:r w:rsidRPr="00357F30">
        <w:t xml:space="preserve">“My colleague, Justice </w:t>
      </w:r>
      <w:proofErr w:type="spellStart"/>
      <w:r w:rsidRPr="00357F30">
        <w:t>Schenck</w:t>
      </w:r>
      <w:proofErr w:type="spellEnd"/>
      <w:r w:rsidRPr="00357F30">
        <w:t xml:space="preserve">, writes separately to explain why he considers it within our discretion as part of our appellate review of summary judgments to review entire records to find supporting </w:t>
      </w:r>
      <w:r w:rsidRPr="00357F30">
        <w:lastRenderedPageBreak/>
        <w:t xml:space="preserve">evidence for the issues raised by the parties. That is more expansive review than I understand we conduct on appellate review of a summary judgment. </w:t>
      </w:r>
      <w:r w:rsidRPr="00357F30">
        <w:rPr>
          <w:rStyle w:val="explanatory-phrase"/>
          <w:i w:val="0"/>
          <w:iCs w:val="0"/>
        </w:rPr>
        <w:t xml:space="preserve">But see Tex. Dep't of Parks &amp; Wildlife v. </w:t>
      </w:r>
      <w:proofErr w:type="gramStart"/>
      <w:r w:rsidRPr="00357F30">
        <w:rPr>
          <w:rStyle w:val="explanatory-phrase"/>
          <w:i w:val="0"/>
          <w:iCs w:val="0"/>
        </w:rPr>
        <w:t>Miranda</w:t>
      </w:r>
      <w:r w:rsidRPr="00357F30">
        <w:rPr>
          <w:rStyle w:val="explanatory-phrase"/>
        </w:rPr>
        <w:t xml:space="preserve"> ,</w:t>
      </w:r>
      <w:proofErr w:type="gramEnd"/>
      <w:r w:rsidRPr="00357F30">
        <w:rPr>
          <w:rStyle w:val="explanatory-phrase"/>
        </w:rPr>
        <w:t xml:space="preserve"> </w:t>
      </w:r>
      <w:hyperlink r:id="rId27" w:anchor="p228" w:history="1">
        <w:r w:rsidRPr="00357F30">
          <w:rPr>
            <w:rStyle w:val="Hyperlink"/>
          </w:rPr>
          <w:t>133 S.W.3d 217, 228, 232</w:t>
        </w:r>
      </w:hyperlink>
      <w:r w:rsidRPr="00357F30">
        <w:rPr>
          <w:rStyle w:val="explanatory-phrase"/>
        </w:rPr>
        <w:t xml:space="preserve"> (Tex. 2004)</w:t>
      </w:r>
      <w:r w:rsidRPr="00357F30">
        <w:t xml:space="preserve"> (review of plea to jurisdiction "generally mirrors that of a summary judgment" and "We search the record for evidence [supporting appellants' contention]. The [appellants] fail to point to any evidence, and the record contains no evidence ...."). I agree that under some circumstances, we undertake such a record review to evaluate a legal sufficiency challenge to a jury verdict. See City of Arlington v. State Farm </w:t>
      </w:r>
      <w:proofErr w:type="gramStart"/>
      <w:r w:rsidRPr="00357F30">
        <w:t>Lloyds ,</w:t>
      </w:r>
      <w:proofErr w:type="gramEnd"/>
      <w:r w:rsidRPr="00357F30">
        <w:t xml:space="preserve"> </w:t>
      </w:r>
      <w:hyperlink r:id="rId28" w:anchor="p167" w:history="1">
        <w:r w:rsidRPr="00357F30">
          <w:rPr>
            <w:rStyle w:val="Hyperlink"/>
          </w:rPr>
          <w:t>145 S.W.3d 165, 167–68</w:t>
        </w:r>
      </w:hyperlink>
      <w:r w:rsidRPr="00357F30">
        <w:t xml:space="preserve"> (Tex. 2004) (when challenging the strength of evidence supporting a verdict as no more than surmise or suspicion, party must "detail the relevant parts of the record," but "[w]hen a complete absence of evidence is alleged, the reviewing court must include the entire record within its scope of review."). B.C. v. Steak N Shake Operations, Inc., 613 S.W.3d 338, 348 (Tex. App. 2020)</w:t>
      </w:r>
    </w:p>
    <w:p w:rsidR="00040920" w:rsidRDefault="00040920" w:rsidP="00040920">
      <w:pPr>
        <w:widowControl w:val="0"/>
        <w:rPr>
          <w:szCs w:val="28"/>
        </w:rPr>
      </w:pPr>
    </w:p>
    <w:p w:rsidR="00040920" w:rsidRDefault="00040920" w:rsidP="00040920">
      <w:pPr>
        <w:widowControl w:val="0"/>
        <w:rPr>
          <w:szCs w:val="28"/>
        </w:rPr>
      </w:pPr>
    </w:p>
    <w:p w:rsidR="00040920" w:rsidRDefault="00040920" w:rsidP="00040920">
      <w:pPr>
        <w:widowControl w:val="0"/>
        <w:rPr>
          <w:szCs w:val="28"/>
        </w:rPr>
      </w:pPr>
    </w:p>
    <w:p w:rsidR="00040920" w:rsidRPr="00043787" w:rsidRDefault="00040920" w:rsidP="00040920">
      <w:pPr>
        <w:widowControl w:val="0"/>
        <w:rPr>
          <w:szCs w:val="28"/>
        </w:rPr>
      </w:pPr>
      <w:r w:rsidRPr="00E80F7F">
        <w:rPr>
          <w:szCs w:val="28"/>
        </w:rPr>
        <w:t>The estates code is a topic-by-topic revision of the state's general and permanent statute law without subs</w:t>
      </w:r>
      <w:r>
        <w:rPr>
          <w:szCs w:val="28"/>
        </w:rPr>
        <w:t xml:space="preserve">tantive change. </w:t>
      </w:r>
      <w:proofErr w:type="gramStart"/>
      <w:r>
        <w:rPr>
          <w:szCs w:val="28"/>
        </w:rPr>
        <w:t xml:space="preserve">[Tex. Est. Code </w:t>
      </w:r>
      <w:r w:rsidRPr="00E80F7F">
        <w:rPr>
          <w:szCs w:val="28"/>
        </w:rPr>
        <w:t>§ 21.001</w:t>
      </w:r>
      <w:r>
        <w:rPr>
          <w:szCs w:val="28"/>
        </w:rPr>
        <w:t>]</w:t>
      </w:r>
      <w:r w:rsidRPr="00E80F7F">
        <w:rPr>
          <w:szCs w:val="28"/>
        </w:rPr>
        <w:t>.</w:t>
      </w:r>
      <w:proofErr w:type="gramEnd"/>
      <w:r>
        <w:rPr>
          <w:szCs w:val="28"/>
        </w:rPr>
        <w:t xml:space="preserve"> It thus seems rather odd that the Lee court could find an independent jurisdiction over trust disputes in the Estates Code that no court ever found in the Probate Code. </w:t>
      </w:r>
      <w:r>
        <w:t xml:space="preserve">This would appear to be the product of taking Tex. Est. Code § 32.006 out of the context of Title II of the estates code. As to Tex. Est. Code § 32.007 </w:t>
      </w:r>
      <w:r w:rsidRPr="001552F8">
        <w:rPr>
          <w:highlight w:val="yellow"/>
        </w:rPr>
        <w:t>concurrent does not mean equal.</w:t>
      </w:r>
      <w:r>
        <w:t xml:space="preserve"> If it did it would render the original and exclusive </w:t>
      </w:r>
      <w:r>
        <w:lastRenderedPageBreak/>
        <w:t xml:space="preserve">jurisdiction provisions of </w:t>
      </w:r>
      <w:r w:rsidRPr="00FF27A4">
        <w:t>Property Code § 115</w:t>
      </w:r>
      <w:r>
        <w:t xml:space="preserve"> meaningless and would open the door to matters involving social security trust funds, construction trust funds,  and all sorts of other trust matters having no relation to the administration of a decedents estate, which is what Title II of the Estates Code governs. No court has held that section 32.006 of the estates code applies to independent administration</w:t>
      </w:r>
    </w:p>
    <w:p w:rsidR="00A658D1" w:rsidRPr="00A658D1" w:rsidRDefault="00A658D1" w:rsidP="00A658D1"/>
    <w:p w:rsidR="00824033" w:rsidRPr="00FF27A4" w:rsidRDefault="00824033" w:rsidP="00CB648F">
      <w:pPr>
        <w:pStyle w:val="Heading2"/>
      </w:pPr>
      <w:r w:rsidRPr="00FF27A4">
        <w:t>Subject Matter Jurisdiction, Dominant jurisdiction and Standing</w:t>
      </w:r>
    </w:p>
    <w:p w:rsidR="00824033" w:rsidRDefault="00824033" w:rsidP="006A2C0D">
      <w:pPr>
        <w:pStyle w:val="NoSpacing"/>
      </w:pPr>
      <w:r w:rsidRPr="00FF27A4">
        <w:t>The only issue before this court is jurisdiction and whether the challenged judgments were issued in want or excess of jurisdiction. Statements or arguments not going to jurisdiction are irrelevant and appellant objects to all such statements or arguments.</w:t>
      </w:r>
    </w:p>
    <w:p w:rsidR="00244AC1" w:rsidRDefault="00244AC1" w:rsidP="006A2C0D">
      <w:pPr>
        <w:pStyle w:val="NoSpacing"/>
      </w:pPr>
    </w:p>
    <w:p w:rsidR="006C1A23" w:rsidRDefault="006C1A23" w:rsidP="006A2C0D">
      <w:pPr>
        <w:pStyle w:val="NoSpacing"/>
      </w:pPr>
    </w:p>
    <w:p w:rsidR="006C1A23" w:rsidRPr="00FF27A4" w:rsidRDefault="006C1A23" w:rsidP="006A2C0D">
      <w:pPr>
        <w:pStyle w:val="NoSpacing"/>
      </w:pPr>
    </w:p>
    <w:p w:rsidR="006C1A23" w:rsidRDefault="006C1A23" w:rsidP="006A2C0D">
      <w:pPr>
        <w:pStyle w:val="NoSpacing"/>
        <w:rPr>
          <w:rStyle w:val="ct-search-result-citation"/>
        </w:rPr>
      </w:pPr>
      <w:hyperlink r:id="rId29" w:history="1">
        <w:r>
          <w:rPr>
            <w:rStyle w:val="Hyperlink"/>
          </w:rPr>
          <w:t>Goepp v. Comerica Bank &amp; Trust, N.A.</w:t>
        </w:r>
      </w:hyperlink>
      <w:r>
        <w:t xml:space="preserve"> </w:t>
      </w:r>
      <w:r>
        <w:rPr>
          <w:rStyle w:val="ct-search-result-citation"/>
        </w:rPr>
        <w:t>No. 03-19-00485-CV (Tex. App. Jul. 9, 2021)</w:t>
      </w:r>
    </w:p>
    <w:p w:rsidR="006C1A23" w:rsidRDefault="00CA5306" w:rsidP="006A2C0D">
      <w:pPr>
        <w:pStyle w:val="NoSpacing"/>
        <w:rPr>
          <w:rStyle w:val="ct-search-result-citation"/>
        </w:rPr>
      </w:pPr>
      <w:hyperlink r:id="rId30" w:history="1">
        <w:proofErr w:type="gramStart"/>
        <w:r>
          <w:rPr>
            <w:rStyle w:val="Hyperlink"/>
          </w:rPr>
          <w:t>Baker v. Baker</w:t>
        </w:r>
      </w:hyperlink>
      <w:r>
        <w:t xml:space="preserve"> </w:t>
      </w:r>
      <w:r>
        <w:rPr>
          <w:rStyle w:val="ct-search-result-citation"/>
        </w:rPr>
        <w:t>NO.</w:t>
      </w:r>
      <w:proofErr w:type="gramEnd"/>
      <w:r>
        <w:rPr>
          <w:rStyle w:val="ct-search-result-citation"/>
        </w:rPr>
        <w:t xml:space="preserve"> 02-18-00051-CV (Tex. App. Sep. 6, 2018)</w:t>
      </w:r>
    </w:p>
    <w:p w:rsidR="006C1A23" w:rsidRDefault="006C1A23" w:rsidP="006A2C0D">
      <w:pPr>
        <w:pStyle w:val="NoSpacing"/>
      </w:pPr>
      <w:hyperlink r:id="rId31" w:history="1">
        <w:proofErr w:type="gramStart"/>
        <w:r>
          <w:rPr>
            <w:rStyle w:val="Hyperlink"/>
          </w:rPr>
          <w:t>Lawton v. Lawton</w:t>
        </w:r>
      </w:hyperlink>
      <w:r>
        <w:t xml:space="preserve"> </w:t>
      </w:r>
      <w:r>
        <w:rPr>
          <w:rStyle w:val="ct-search-result-citation"/>
        </w:rPr>
        <w:t>NO.</w:t>
      </w:r>
      <w:proofErr w:type="gramEnd"/>
      <w:r>
        <w:rPr>
          <w:rStyle w:val="ct-search-result-citation"/>
        </w:rPr>
        <w:t xml:space="preserve"> 01-12-00932-CV (Tex. App. Jul. 10, 2014)</w:t>
      </w:r>
    </w:p>
    <w:p w:rsidR="00CA5306" w:rsidRDefault="00CA5306" w:rsidP="006A2C0D">
      <w:pPr>
        <w:pStyle w:val="NoSpacing"/>
      </w:pPr>
      <w:hyperlink r:id="rId32" w:history="1">
        <w:r>
          <w:rPr>
            <w:rStyle w:val="Hyperlink"/>
          </w:rPr>
          <w:t>In re Stark</w:t>
        </w:r>
      </w:hyperlink>
      <w:r>
        <w:t xml:space="preserve"> </w:t>
      </w:r>
      <w:r>
        <w:rPr>
          <w:rStyle w:val="ct-search-result-citation"/>
        </w:rPr>
        <w:t>126 S.W.3d 635 (Tex. App. 2004)</w:t>
      </w:r>
      <w:r w:rsidR="006A2C0D">
        <w:rPr>
          <w:rStyle w:val="ct-search-result-citation"/>
        </w:rPr>
        <w:tab/>
      </w:r>
      <w:r w:rsidR="006A2C0D">
        <w:rPr>
          <w:rFonts w:ascii="TimesNewRomanPSMT" w:hAnsi="TimesNewRomanPSMT" w:cs="TimesNewRomanPSMT"/>
          <w:sz w:val="21"/>
          <w:szCs w:val="21"/>
        </w:rPr>
        <w:t>whether or not the matter is appertaining to or incident to an estate</w:t>
      </w:r>
    </w:p>
    <w:p w:rsidR="006C1A23" w:rsidRDefault="006C1A23" w:rsidP="006A2C0D">
      <w:pPr>
        <w:pStyle w:val="NoSpacing"/>
        <w:rPr>
          <w:rStyle w:val="ct-search-result-citation"/>
        </w:rPr>
      </w:pPr>
      <w:hyperlink r:id="rId33" w:history="1">
        <w:proofErr w:type="spellStart"/>
        <w:r>
          <w:rPr>
            <w:rStyle w:val="Hyperlink"/>
          </w:rPr>
          <w:t>Schuld</w:t>
        </w:r>
        <w:proofErr w:type="spellEnd"/>
        <w:r>
          <w:rPr>
            <w:rStyle w:val="Hyperlink"/>
          </w:rPr>
          <w:t xml:space="preserve"> v. </w:t>
        </w:r>
        <w:proofErr w:type="spellStart"/>
        <w:r>
          <w:rPr>
            <w:rStyle w:val="Hyperlink"/>
          </w:rPr>
          <w:t>Dembrinski</w:t>
        </w:r>
        <w:proofErr w:type="spellEnd"/>
      </w:hyperlink>
      <w:r>
        <w:t xml:space="preserve"> </w:t>
      </w:r>
      <w:r>
        <w:rPr>
          <w:rStyle w:val="ct-search-result-citation"/>
        </w:rPr>
        <w:t>12 S.W.3d 485 (Tex. App. 2000)</w:t>
      </w:r>
    </w:p>
    <w:p w:rsidR="006C1A23" w:rsidRDefault="006C1A23" w:rsidP="006A2C0D">
      <w:pPr>
        <w:pStyle w:val="NoSpacing"/>
        <w:rPr>
          <w:rStyle w:val="ct-search-result-citation"/>
        </w:rPr>
      </w:pPr>
      <w:hyperlink r:id="rId34" w:history="1">
        <w:r>
          <w:rPr>
            <w:rStyle w:val="Hyperlink"/>
          </w:rPr>
          <w:t xml:space="preserve">Herring v. </w:t>
        </w:r>
        <w:proofErr w:type="spellStart"/>
        <w:r>
          <w:rPr>
            <w:rStyle w:val="Hyperlink"/>
          </w:rPr>
          <w:t>Welborn</w:t>
        </w:r>
        <w:proofErr w:type="spellEnd"/>
      </w:hyperlink>
      <w:r>
        <w:t xml:space="preserve"> </w:t>
      </w:r>
      <w:r>
        <w:rPr>
          <w:rStyle w:val="ct-search-result-citation"/>
        </w:rPr>
        <w:t>27 S.W.3d 132 (Tex. App. 2000)</w:t>
      </w:r>
    </w:p>
    <w:p w:rsidR="00CA5306" w:rsidRDefault="00CA5306" w:rsidP="006A2C0D">
      <w:pPr>
        <w:pStyle w:val="NoSpacing"/>
        <w:rPr>
          <w:rStyle w:val="ct-search-result-citation"/>
        </w:rPr>
      </w:pPr>
      <w:hyperlink r:id="rId35" w:history="1">
        <w:r>
          <w:rPr>
            <w:rStyle w:val="Hyperlink"/>
          </w:rPr>
          <w:t>In re Living Centers of America, Inc.</w:t>
        </w:r>
      </w:hyperlink>
      <w:r>
        <w:t xml:space="preserve"> </w:t>
      </w:r>
      <w:r w:rsidRPr="000C64A9">
        <w:rPr>
          <w:rStyle w:val="ct-search-result-citation"/>
          <w:highlight w:val="yellow"/>
        </w:rPr>
        <w:t>10 S.W.3d 1 (Tex. App. 1999)</w:t>
      </w:r>
      <w:r w:rsidR="006A2C0D">
        <w:rPr>
          <w:rStyle w:val="ct-search-result-citation"/>
        </w:rPr>
        <w:t xml:space="preserve"> </w:t>
      </w:r>
      <w:r w:rsidR="006A2C0D">
        <w:rPr>
          <w:rFonts w:ascii="TimesNewRomanPSMT" w:hAnsi="TimesNewRomanPSMT" w:cs="TimesNewRomanPSMT"/>
          <w:sz w:val="21"/>
          <w:szCs w:val="21"/>
        </w:rPr>
        <w:t>whether or not the matter is appertaining to or incident to an estate</w:t>
      </w:r>
    </w:p>
    <w:p w:rsidR="006C1A23" w:rsidRDefault="006C1A23" w:rsidP="006A2C0D">
      <w:pPr>
        <w:pStyle w:val="NoSpacing"/>
        <w:rPr>
          <w:rStyle w:val="ct-search-result-citation"/>
        </w:rPr>
      </w:pPr>
      <w:hyperlink r:id="rId36" w:history="1">
        <w:r>
          <w:rPr>
            <w:rStyle w:val="Hyperlink"/>
          </w:rPr>
          <w:t>Wallace v. Collins</w:t>
        </w:r>
      </w:hyperlink>
      <w:r>
        <w:t xml:space="preserve"> </w:t>
      </w:r>
      <w:r>
        <w:rPr>
          <w:rStyle w:val="ct-search-result-citation"/>
        </w:rPr>
        <w:t>988 S.W.2d 258 (Tex. App. 1998)</w:t>
      </w:r>
    </w:p>
    <w:p w:rsidR="006C1A23" w:rsidRPr="006C1A23" w:rsidRDefault="00CA5306" w:rsidP="006A2C0D">
      <w:pPr>
        <w:pStyle w:val="NoSpacing"/>
      </w:pPr>
      <w:r w:rsidRPr="000C64A9">
        <w:t xml:space="preserve">In re J7S </w:t>
      </w:r>
      <w:proofErr w:type="spellStart"/>
      <w:proofErr w:type="gramStart"/>
      <w:r w:rsidRPr="000C64A9">
        <w:t>Inc</w:t>
      </w:r>
      <w:proofErr w:type="spellEnd"/>
      <w:r w:rsidR="000C64A9" w:rsidRPr="000C64A9">
        <w:t xml:space="preserve">  </w:t>
      </w:r>
      <w:r w:rsidRPr="000C64A9">
        <w:rPr>
          <w:rStyle w:val="ct-search-result-citation"/>
          <w:highlight w:val="yellow"/>
        </w:rPr>
        <w:t>979</w:t>
      </w:r>
      <w:proofErr w:type="gramEnd"/>
      <w:r w:rsidRPr="000C64A9">
        <w:rPr>
          <w:rStyle w:val="ct-search-result-citation"/>
          <w:highlight w:val="yellow"/>
        </w:rPr>
        <w:t xml:space="preserve"> S.W.2d 374 (Tex. App. 1998)</w:t>
      </w:r>
    </w:p>
    <w:p w:rsidR="002C553A" w:rsidRDefault="006C1A23" w:rsidP="006A2C0D">
      <w:pPr>
        <w:pStyle w:val="NoSpacing"/>
        <w:rPr>
          <w:rStyle w:val="ct-search-result-citation"/>
        </w:rPr>
      </w:pPr>
      <w:hyperlink r:id="rId37" w:history="1">
        <w:r>
          <w:rPr>
            <w:rStyle w:val="Hyperlink"/>
          </w:rPr>
          <w:t>Estate of Hanau, in re</w:t>
        </w:r>
      </w:hyperlink>
      <w:r>
        <w:t xml:space="preserve"> </w:t>
      </w:r>
      <w:r w:rsidR="00CA5306">
        <w:rPr>
          <w:rStyle w:val="ct-search-result-citation"/>
        </w:rPr>
        <w:t>806 S.W.2d 900 (Tex. App. 1991</w:t>
      </w:r>
    </w:p>
    <w:p w:rsidR="00CA5306" w:rsidRDefault="00CA5306" w:rsidP="006A2C0D">
      <w:pPr>
        <w:pStyle w:val="NoSpacing"/>
      </w:pPr>
      <w:hyperlink r:id="rId38" w:history="1">
        <w:r>
          <w:rPr>
            <w:rStyle w:val="Hyperlink"/>
          </w:rPr>
          <w:t>Carlisle v. Bennett</w:t>
        </w:r>
      </w:hyperlink>
      <w:r>
        <w:t xml:space="preserve"> </w:t>
      </w:r>
      <w:r>
        <w:rPr>
          <w:rStyle w:val="ct-search-result-citation"/>
        </w:rPr>
        <w:t>801 S.W.2d 589 (Tex. App. 1990)</w:t>
      </w:r>
    </w:p>
    <w:p w:rsidR="006C1A23" w:rsidRDefault="006C1A23" w:rsidP="006A2C0D">
      <w:pPr>
        <w:pStyle w:val="NoSpacing"/>
      </w:pPr>
      <w:hyperlink r:id="rId39" w:history="1">
        <w:proofErr w:type="spellStart"/>
        <w:r>
          <w:rPr>
            <w:rStyle w:val="Hyperlink"/>
          </w:rPr>
          <w:t>Interfirst</w:t>
        </w:r>
        <w:proofErr w:type="spellEnd"/>
        <w:r>
          <w:rPr>
            <w:rStyle w:val="Hyperlink"/>
          </w:rPr>
          <w:t xml:space="preserve"> Bank-Houston, N.A. v. Quintana Petroleum Corp.</w:t>
        </w:r>
      </w:hyperlink>
      <w:r>
        <w:t xml:space="preserve"> </w:t>
      </w:r>
      <w:r>
        <w:rPr>
          <w:rStyle w:val="ct-search-result-citation"/>
        </w:rPr>
        <w:t>699 S.W.2d 864 (Tex. App. 1985)</w:t>
      </w:r>
    </w:p>
    <w:p w:rsidR="00CA5306" w:rsidRDefault="00CA5306" w:rsidP="006A2C0D">
      <w:pPr>
        <w:pStyle w:val="NoSpacing"/>
        <w:rPr>
          <w:rStyle w:val="ct-search-result-citation"/>
        </w:rPr>
      </w:pPr>
      <w:hyperlink r:id="rId40" w:history="1">
        <w:r>
          <w:rPr>
            <w:rStyle w:val="Hyperlink"/>
          </w:rPr>
          <w:t>Pullen v. Swanson</w:t>
        </w:r>
      </w:hyperlink>
      <w:r>
        <w:t xml:space="preserve"> </w:t>
      </w:r>
      <w:r>
        <w:rPr>
          <w:rStyle w:val="ct-search-result-citation"/>
        </w:rPr>
        <w:t>667 S.W.2d 359 (Tex. App. 1984</w:t>
      </w:r>
    </w:p>
    <w:p w:rsidR="00CA5306" w:rsidRDefault="00CA5306" w:rsidP="006A2C0D">
      <w:pPr>
        <w:pStyle w:val="NoSpacing"/>
      </w:pPr>
      <w:hyperlink r:id="rId41" w:history="1">
        <w:r>
          <w:rPr>
            <w:rStyle w:val="Hyperlink"/>
          </w:rPr>
          <w:t>Seay v. Hall</w:t>
        </w:r>
      </w:hyperlink>
      <w:r>
        <w:t xml:space="preserve"> </w:t>
      </w:r>
      <w:r>
        <w:rPr>
          <w:rStyle w:val="ct-search-result-citation"/>
        </w:rPr>
        <w:t>663 S.W.2d 468 (Tex. App. 1983)</w:t>
      </w:r>
    </w:p>
    <w:p w:rsidR="00CA5306" w:rsidRDefault="00CA5306" w:rsidP="006A2C0D">
      <w:pPr>
        <w:pStyle w:val="NoSpacing"/>
      </w:pPr>
      <w:hyperlink r:id="rId42" w:history="1">
        <w:r>
          <w:rPr>
            <w:rStyle w:val="Hyperlink"/>
          </w:rPr>
          <w:t>Wolford v. Wolford</w:t>
        </w:r>
      </w:hyperlink>
      <w:r>
        <w:t xml:space="preserve"> </w:t>
      </w:r>
      <w:r>
        <w:rPr>
          <w:rStyle w:val="ct-search-result-citation"/>
        </w:rPr>
        <w:t>590 S.W.2d 769 (Tex. Civ. App. 1979)</w:t>
      </w:r>
    </w:p>
    <w:p w:rsidR="006C1A23" w:rsidRDefault="006C1A23" w:rsidP="006A2C0D">
      <w:pPr>
        <w:pStyle w:val="NoSpacing"/>
      </w:pPr>
    </w:p>
    <w:p w:rsidR="006C1A23" w:rsidRDefault="006C1A23" w:rsidP="006A2C0D">
      <w:pPr>
        <w:pStyle w:val="NoSpacing"/>
      </w:pPr>
    </w:p>
    <w:p w:rsidR="006C1A23" w:rsidRDefault="006C1A23" w:rsidP="006A2C0D">
      <w:pPr>
        <w:pStyle w:val="NoSpacing"/>
      </w:pPr>
    </w:p>
    <w:p w:rsidR="006C1A23" w:rsidRDefault="006C1A23" w:rsidP="006A2C0D">
      <w:pPr>
        <w:pStyle w:val="NoSpacing"/>
      </w:pPr>
    </w:p>
    <w:p w:rsidR="006C1A23" w:rsidRDefault="006C1A23" w:rsidP="006A2C0D">
      <w:pPr>
        <w:pStyle w:val="NoSpacing"/>
      </w:pPr>
    </w:p>
    <w:p w:rsidR="006C1A23" w:rsidRDefault="006C1A23" w:rsidP="006A2C0D">
      <w:pPr>
        <w:pStyle w:val="NoSpacing"/>
      </w:pPr>
    </w:p>
    <w:p w:rsidR="006C1A23" w:rsidRDefault="006C1A23" w:rsidP="006A2C0D">
      <w:pPr>
        <w:pStyle w:val="NoSpacing"/>
      </w:pPr>
    </w:p>
    <w:p w:rsidR="002C553A" w:rsidRDefault="002C553A" w:rsidP="006A2C0D">
      <w:pPr>
        <w:pStyle w:val="NoSpacing"/>
      </w:pPr>
    </w:p>
    <w:p w:rsidR="002C553A" w:rsidRDefault="002C553A" w:rsidP="006A2C0D">
      <w:pPr>
        <w:pStyle w:val="NoSpacing"/>
      </w:pPr>
    </w:p>
    <w:p w:rsidR="002C553A" w:rsidRDefault="002C553A" w:rsidP="006A2C0D">
      <w:pPr>
        <w:pStyle w:val="NoSpacing"/>
      </w:pPr>
      <w:hyperlink r:id="rId43" w:history="1">
        <w:r>
          <w:rPr>
            <w:rStyle w:val="Hyperlink"/>
          </w:rPr>
          <w:t>In re Rushing</w:t>
        </w:r>
      </w:hyperlink>
      <w:r>
        <w:t xml:space="preserve"> </w:t>
      </w:r>
      <w:r>
        <w:rPr>
          <w:rStyle w:val="ct-search-result-citation"/>
        </w:rPr>
        <w:t>644 S.W.3d 383 (Tex. App. 2022)</w:t>
      </w:r>
    </w:p>
    <w:p w:rsidR="002C553A" w:rsidRDefault="002C553A" w:rsidP="006A2C0D">
      <w:pPr>
        <w:pStyle w:val="NoSpacing"/>
      </w:pPr>
      <w:hyperlink r:id="rId44" w:history="1">
        <w:proofErr w:type="spellStart"/>
        <w:r>
          <w:rPr>
            <w:rStyle w:val="Hyperlink"/>
          </w:rPr>
          <w:t>Jurgens</w:t>
        </w:r>
        <w:proofErr w:type="spellEnd"/>
        <w:r>
          <w:rPr>
            <w:rStyle w:val="Hyperlink"/>
          </w:rPr>
          <w:t xml:space="preserve"> v. Martin</w:t>
        </w:r>
      </w:hyperlink>
      <w:r>
        <w:t xml:space="preserve"> </w:t>
      </w:r>
      <w:r>
        <w:rPr>
          <w:rStyle w:val="ct-search-result-citation"/>
        </w:rPr>
        <w:t>631 S.W.3d 385 (Tex. App. 2021)</w:t>
      </w:r>
    </w:p>
    <w:p w:rsidR="002C553A" w:rsidRDefault="002C553A" w:rsidP="006A2C0D">
      <w:pPr>
        <w:pStyle w:val="NoSpacing"/>
      </w:pPr>
      <w:hyperlink r:id="rId45" w:history="1">
        <w:r>
          <w:rPr>
            <w:rStyle w:val="Hyperlink"/>
          </w:rPr>
          <w:t xml:space="preserve">In re </w:t>
        </w:r>
        <w:proofErr w:type="spellStart"/>
        <w:r>
          <w:rPr>
            <w:rStyle w:val="Hyperlink"/>
          </w:rPr>
          <w:t>Stavron</w:t>
        </w:r>
        <w:proofErr w:type="spellEnd"/>
      </w:hyperlink>
      <w:r>
        <w:t xml:space="preserve"> </w:t>
      </w:r>
      <w:r>
        <w:rPr>
          <w:rStyle w:val="ct-search-result-citation"/>
        </w:rPr>
        <w:t>No. 02-20-00404-CV (Tex. App. Nov. 10, 2021)</w:t>
      </w:r>
    </w:p>
    <w:p w:rsidR="002C553A" w:rsidRDefault="002C553A" w:rsidP="006A2C0D">
      <w:pPr>
        <w:pStyle w:val="NoSpacing"/>
      </w:pPr>
      <w:hyperlink r:id="rId46" w:history="1">
        <w:r>
          <w:rPr>
            <w:rStyle w:val="Hyperlink"/>
          </w:rPr>
          <w:t>In re Est</w:t>
        </w:r>
        <w:r>
          <w:rPr>
            <w:rStyle w:val="Hyperlink"/>
          </w:rPr>
          <w:t>a</w:t>
        </w:r>
        <w:r>
          <w:rPr>
            <w:rStyle w:val="Hyperlink"/>
          </w:rPr>
          <w:t>te of Hallmark</w:t>
        </w:r>
      </w:hyperlink>
      <w:r>
        <w:t xml:space="preserve"> </w:t>
      </w:r>
      <w:r>
        <w:rPr>
          <w:rStyle w:val="ct-search-result-citation"/>
        </w:rPr>
        <w:t>629 S.W.3d 433 (Tex. App. 2020)</w:t>
      </w:r>
    </w:p>
    <w:p w:rsidR="002C553A" w:rsidRPr="002C553A" w:rsidRDefault="002C553A" w:rsidP="006A2C0D">
      <w:pPr>
        <w:pStyle w:val="NoSpacing"/>
        <w:rPr>
          <w:color w:val="auto"/>
        </w:rPr>
      </w:pPr>
      <w:hyperlink r:id="rId47" w:history="1">
        <w:r w:rsidRPr="002C553A">
          <w:rPr>
            <w:rFonts w:eastAsia="Times New Roman"/>
            <w:color w:val="0000FF"/>
            <w:u w:val="single"/>
          </w:rPr>
          <w:t>Narvaez v. Powell</w:t>
        </w:r>
      </w:hyperlink>
      <w:r>
        <w:t xml:space="preserve"> </w:t>
      </w:r>
      <w:r w:rsidRPr="002C553A">
        <w:rPr>
          <w:rFonts w:eastAsia="Times New Roman"/>
          <w:color w:val="auto"/>
        </w:rPr>
        <w:t>564 S.W.3d 49 (Tex. App. 2018)</w:t>
      </w:r>
    </w:p>
    <w:p w:rsidR="002C553A" w:rsidRDefault="002C553A" w:rsidP="006A2C0D">
      <w:pPr>
        <w:pStyle w:val="NoSpacing"/>
        <w:rPr>
          <w:rStyle w:val="ct-search-result-citation"/>
        </w:rPr>
      </w:pPr>
      <w:hyperlink r:id="rId48" w:history="1">
        <w:r>
          <w:rPr>
            <w:rStyle w:val="Hyperlink"/>
          </w:rPr>
          <w:t>Shell Cortez Pipeline v. Shores</w:t>
        </w:r>
      </w:hyperlink>
      <w:r>
        <w:t xml:space="preserve"> </w:t>
      </w:r>
      <w:r>
        <w:rPr>
          <w:rStyle w:val="ct-search-result-citation"/>
        </w:rPr>
        <w:t>127 S.W.3d 286 (Tex. App. 2004)</w:t>
      </w:r>
    </w:p>
    <w:p w:rsidR="001A2FCD" w:rsidRDefault="001A2FCD" w:rsidP="006A2C0D">
      <w:pPr>
        <w:pStyle w:val="NoSpacing"/>
      </w:pPr>
      <w:hyperlink r:id="rId49" w:history="1">
        <w:r>
          <w:rPr>
            <w:rStyle w:val="Hyperlink"/>
          </w:rPr>
          <w:t xml:space="preserve">Patel v. City of </w:t>
        </w:r>
        <w:proofErr w:type="spellStart"/>
        <w:r>
          <w:rPr>
            <w:rStyle w:val="Hyperlink"/>
          </w:rPr>
          <w:t>Everman</w:t>
        </w:r>
        <w:proofErr w:type="spellEnd"/>
      </w:hyperlink>
      <w:r>
        <w:t xml:space="preserve"> </w:t>
      </w:r>
      <w:r>
        <w:rPr>
          <w:rStyle w:val="ct-search-result-citation"/>
        </w:rPr>
        <w:t>179 S.W.3d 1 (Tex. App. 2004)</w:t>
      </w:r>
    </w:p>
    <w:p w:rsidR="001A2FCD" w:rsidRPr="002C553A" w:rsidRDefault="001A2FCD" w:rsidP="006A2C0D">
      <w:pPr>
        <w:pStyle w:val="NoSpacing"/>
      </w:pPr>
    </w:p>
    <w:p w:rsidR="002C553A" w:rsidRDefault="002C553A" w:rsidP="006A2C0D">
      <w:pPr>
        <w:pStyle w:val="NoSpacing"/>
        <w:rPr>
          <w:rStyle w:val="ct-search-result-citation"/>
          <w:color w:val="auto"/>
        </w:rPr>
      </w:pPr>
      <w:hyperlink r:id="rId50" w:history="1">
        <w:r>
          <w:rPr>
            <w:rStyle w:val="Hyperlink"/>
          </w:rPr>
          <w:t>Sabine Gas Transmission Co. v. Winnie Pipeline Co.</w:t>
        </w:r>
      </w:hyperlink>
      <w:r>
        <w:t xml:space="preserve"> </w:t>
      </w:r>
      <w:r w:rsidRPr="002C553A">
        <w:rPr>
          <w:rStyle w:val="ct-search-result-citation"/>
          <w:color w:val="auto"/>
        </w:rPr>
        <w:t>15 S.W.3d 199 (Tex. App. 2000)</w:t>
      </w:r>
    </w:p>
    <w:p w:rsidR="001A2FCD" w:rsidRDefault="001A2FCD" w:rsidP="006A2C0D">
      <w:pPr>
        <w:pStyle w:val="NoSpacing"/>
      </w:pPr>
      <w:hyperlink r:id="rId51" w:history="1">
        <w:r>
          <w:rPr>
            <w:rStyle w:val="Hyperlink"/>
          </w:rPr>
          <w:t>Vale v. Ryan</w:t>
        </w:r>
      </w:hyperlink>
      <w:r>
        <w:t xml:space="preserve"> </w:t>
      </w:r>
      <w:r>
        <w:rPr>
          <w:rStyle w:val="ct-search-result-citation"/>
        </w:rPr>
        <w:t>809 S.W.2d 324 (Tex. App. 1991)</w:t>
      </w:r>
    </w:p>
    <w:p w:rsidR="002C553A" w:rsidRDefault="002C553A" w:rsidP="006A2C0D">
      <w:pPr>
        <w:pStyle w:val="NoSpacing"/>
        <w:rPr>
          <w:rStyle w:val="ct-search-result-citation"/>
        </w:rPr>
      </w:pPr>
      <w:hyperlink r:id="rId52" w:history="1">
        <w:r>
          <w:rPr>
            <w:rStyle w:val="Hyperlink"/>
          </w:rPr>
          <w:t>Mohamed v. Exxon Corp.</w:t>
        </w:r>
      </w:hyperlink>
      <w:r>
        <w:t xml:space="preserve"> </w:t>
      </w:r>
      <w:r w:rsidRPr="002C553A">
        <w:rPr>
          <w:rStyle w:val="ct-search-result-citation"/>
          <w:color w:val="auto"/>
        </w:rPr>
        <w:t>796 S.W.2d 751 (Tex. App. 1990)</w:t>
      </w:r>
    </w:p>
    <w:p w:rsidR="002C553A" w:rsidRPr="002C553A" w:rsidRDefault="002C553A" w:rsidP="006A2C0D">
      <w:pPr>
        <w:pStyle w:val="NoSpacing"/>
        <w:rPr>
          <w:rStyle w:val="FootnoteChar"/>
          <w:rFonts w:asciiTheme="majorHAnsi" w:eastAsiaTheme="majorEastAsia" w:hAnsiTheme="majorHAnsi"/>
          <w:color w:val="auto"/>
          <w:sz w:val="28"/>
          <w:szCs w:val="24"/>
        </w:rPr>
      </w:pPr>
      <w:hyperlink r:id="rId53" w:history="1">
        <w:r>
          <w:rPr>
            <w:rStyle w:val="Hyperlink"/>
          </w:rPr>
          <w:t>Goodman v. Summit at West Rim, Ltd.</w:t>
        </w:r>
      </w:hyperlink>
      <w:r>
        <w:t xml:space="preserve"> </w:t>
      </w:r>
      <w:r w:rsidRPr="002C553A">
        <w:rPr>
          <w:rStyle w:val="ct-search-result-citation"/>
          <w:color w:val="auto"/>
        </w:rPr>
        <w:t>952 S.W.2d 930 (Tex. App. 1997)</w:t>
      </w:r>
    </w:p>
    <w:p w:rsidR="002C553A" w:rsidRDefault="002C553A" w:rsidP="002C553A">
      <w:pPr>
        <w:spacing w:before="0" w:after="0" w:line="240" w:lineRule="auto"/>
        <w:ind w:firstLine="0"/>
        <w:rPr>
          <w:rStyle w:val="FootnoteChar"/>
          <w:sz w:val="28"/>
        </w:rPr>
      </w:pPr>
    </w:p>
    <w:p w:rsidR="00EE0E82" w:rsidRDefault="00EE0E82" w:rsidP="002C553A">
      <w:pPr>
        <w:spacing w:before="0" w:after="0" w:line="240" w:lineRule="auto"/>
        <w:ind w:firstLine="0"/>
        <w:rPr>
          <w:rStyle w:val="FootnoteChar"/>
          <w:sz w:val="28"/>
        </w:rPr>
      </w:pPr>
    </w:p>
    <w:p w:rsidR="00EE0E82" w:rsidRDefault="002E6DC6" w:rsidP="002C553A">
      <w:pPr>
        <w:spacing w:before="0" w:after="0" w:line="240" w:lineRule="auto"/>
        <w:ind w:firstLine="0"/>
        <w:rPr>
          <w:rStyle w:val="FootnoteChar"/>
          <w:sz w:val="28"/>
        </w:rPr>
      </w:pPr>
      <w:r>
        <w:rPr>
          <w:rStyle w:val="FootnoteChar"/>
          <w:sz w:val="28"/>
        </w:rPr>
        <w:t xml:space="preserve">Appellees continuously use the term “estate” and “estate-related” [p.3] </w:t>
      </w:r>
      <w:proofErr w:type="gramStart"/>
      <w:r w:rsidR="00EE0E82">
        <w:rPr>
          <w:rStyle w:val="FootnoteChar"/>
          <w:sz w:val="28"/>
        </w:rPr>
        <w:t>however,</w:t>
      </w:r>
      <w:proofErr w:type="gramEnd"/>
      <w:r w:rsidR="00EE0E82">
        <w:rPr>
          <w:rStyle w:val="FootnoteChar"/>
          <w:sz w:val="28"/>
        </w:rPr>
        <w:t xml:space="preserve"> </w:t>
      </w:r>
      <w:r>
        <w:rPr>
          <w:rStyle w:val="FootnoteChar"/>
          <w:sz w:val="28"/>
        </w:rPr>
        <w:t xml:space="preserve">there is no estate, only a trust corpus. </w:t>
      </w:r>
    </w:p>
    <w:p w:rsidR="00EE0E82" w:rsidRDefault="00EE0E82" w:rsidP="002C553A">
      <w:pPr>
        <w:spacing w:before="0" w:after="0" w:line="240" w:lineRule="auto"/>
        <w:ind w:firstLine="0"/>
        <w:rPr>
          <w:rStyle w:val="FootnoteChar"/>
          <w:sz w:val="28"/>
        </w:rPr>
      </w:pPr>
    </w:p>
    <w:p w:rsidR="002C553A" w:rsidRDefault="002E6DC6" w:rsidP="002C553A">
      <w:pPr>
        <w:spacing w:before="0" w:after="0" w:line="240" w:lineRule="auto"/>
        <w:ind w:firstLine="0"/>
        <w:rPr>
          <w:rStyle w:val="FootnoteChar"/>
          <w:sz w:val="28"/>
        </w:rPr>
      </w:pPr>
      <w:r>
        <w:rPr>
          <w:rStyle w:val="FootnoteChar"/>
          <w:sz w:val="28"/>
        </w:rPr>
        <w:t>These terms are used in order to distinguish one from the other. One is probate and the other is in contract.</w:t>
      </w:r>
    </w:p>
    <w:p w:rsidR="002E6DC6" w:rsidRDefault="002E6DC6" w:rsidP="002C553A">
      <w:pPr>
        <w:spacing w:before="0" w:after="0" w:line="240" w:lineRule="auto"/>
        <w:ind w:firstLine="0"/>
        <w:rPr>
          <w:rStyle w:val="FootnoteChar"/>
          <w:sz w:val="28"/>
        </w:rPr>
      </w:pPr>
    </w:p>
    <w:p w:rsidR="002E6DC6" w:rsidRDefault="002E6DC6" w:rsidP="002C553A">
      <w:pPr>
        <w:spacing w:before="0" w:after="0" w:line="240" w:lineRule="auto"/>
        <w:ind w:firstLine="0"/>
        <w:rPr>
          <w:rStyle w:val="FootnoteChar"/>
          <w:sz w:val="28"/>
        </w:rPr>
      </w:pPr>
      <w:r>
        <w:rPr>
          <w:rStyle w:val="FootnoteChar"/>
          <w:sz w:val="28"/>
        </w:rPr>
        <w:t>Being forced to defend oneself in a court that has no jurisdiction is not to be considered active participation in litigation. Where there is no jurisdiction, there is no court and there is no litigation possible.</w:t>
      </w:r>
    </w:p>
    <w:p w:rsidR="002E6DC6" w:rsidRDefault="002E6DC6" w:rsidP="002C553A">
      <w:pPr>
        <w:spacing w:before="0" w:after="0" w:line="240" w:lineRule="auto"/>
        <w:ind w:firstLine="0"/>
        <w:rPr>
          <w:rStyle w:val="FootnoteChar"/>
          <w:sz w:val="28"/>
        </w:rPr>
      </w:pPr>
    </w:p>
    <w:p w:rsidR="002E6DC6" w:rsidRDefault="002E6DC6" w:rsidP="002C553A">
      <w:pPr>
        <w:spacing w:before="0" w:after="0" w:line="240" w:lineRule="auto"/>
        <w:ind w:firstLine="0"/>
        <w:rPr>
          <w:rStyle w:val="FootnoteChar"/>
          <w:sz w:val="28"/>
        </w:rPr>
      </w:pPr>
      <w:r>
        <w:rPr>
          <w:rStyle w:val="FootnoteChar"/>
          <w:sz w:val="28"/>
        </w:rPr>
        <w:t xml:space="preserve">District Court can act in equity. </w:t>
      </w:r>
    </w:p>
    <w:p w:rsidR="002E6DC6" w:rsidRDefault="002E6DC6" w:rsidP="002C553A">
      <w:pPr>
        <w:spacing w:before="0" w:after="0" w:line="240" w:lineRule="auto"/>
        <w:ind w:firstLine="0"/>
        <w:rPr>
          <w:rStyle w:val="FootnoteChar"/>
          <w:sz w:val="28"/>
        </w:rPr>
      </w:pPr>
    </w:p>
    <w:p w:rsidR="002E6DC6" w:rsidRDefault="002E6DC6" w:rsidP="002C553A">
      <w:pPr>
        <w:spacing w:before="0" w:after="0" w:line="240" w:lineRule="auto"/>
        <w:ind w:firstLine="0"/>
        <w:rPr>
          <w:rStyle w:val="FootnoteChar"/>
          <w:sz w:val="28"/>
        </w:rPr>
      </w:pPr>
      <w:r>
        <w:rPr>
          <w:rStyle w:val="FootnoteChar"/>
          <w:sz w:val="28"/>
        </w:rPr>
        <w:t xml:space="preserve">Probate acts in rem. Equity, as used in the estates code, is directly related to </w:t>
      </w:r>
      <w:r w:rsidR="00EE0E82">
        <w:rPr>
          <w:rStyle w:val="FootnoteChar"/>
          <w:sz w:val="28"/>
        </w:rPr>
        <w:t xml:space="preserve">real </w:t>
      </w:r>
      <w:r>
        <w:rPr>
          <w:rStyle w:val="FootnoteChar"/>
          <w:sz w:val="28"/>
        </w:rPr>
        <w:t xml:space="preserve">property, equity loans and equitable </w:t>
      </w:r>
      <w:r w:rsidR="00EE0E82">
        <w:rPr>
          <w:rStyle w:val="FootnoteChar"/>
          <w:sz w:val="28"/>
        </w:rPr>
        <w:t xml:space="preserve">interests in real property owned by </w:t>
      </w:r>
      <w:r>
        <w:rPr>
          <w:rStyle w:val="FootnoteChar"/>
          <w:sz w:val="28"/>
        </w:rPr>
        <w:t xml:space="preserve">the decedent. </w:t>
      </w:r>
    </w:p>
    <w:p w:rsidR="002E6DC6" w:rsidRDefault="002E6DC6" w:rsidP="002C553A">
      <w:pPr>
        <w:spacing w:before="0" w:after="0" w:line="240" w:lineRule="auto"/>
        <w:ind w:firstLine="0"/>
        <w:rPr>
          <w:rStyle w:val="FootnoteChar"/>
          <w:sz w:val="28"/>
        </w:rPr>
      </w:pPr>
      <w:r>
        <w:rPr>
          <w:rStyle w:val="FootnoteChar"/>
          <w:sz w:val="28"/>
        </w:rPr>
        <w:t xml:space="preserve"> </w:t>
      </w:r>
    </w:p>
    <w:p w:rsidR="00EE0E82" w:rsidRDefault="00EE0E82" w:rsidP="002C553A">
      <w:pPr>
        <w:spacing w:before="0" w:after="0" w:line="240" w:lineRule="auto"/>
        <w:ind w:firstLine="0"/>
        <w:rPr>
          <w:rStyle w:val="FootnoteChar"/>
          <w:sz w:val="28"/>
        </w:rPr>
      </w:pPr>
      <w:r>
        <w:rPr>
          <w:rStyle w:val="FootnoteChar"/>
          <w:sz w:val="28"/>
        </w:rPr>
        <w:t>Must search the entire record!</w:t>
      </w:r>
    </w:p>
    <w:p w:rsidR="00EE0E82" w:rsidRDefault="00EE0E82" w:rsidP="002C553A">
      <w:pPr>
        <w:spacing w:before="0" w:after="0" w:line="240" w:lineRule="auto"/>
        <w:ind w:firstLine="0"/>
        <w:rPr>
          <w:rStyle w:val="FootnoteChar"/>
          <w:sz w:val="28"/>
        </w:rPr>
      </w:pPr>
    </w:p>
    <w:p w:rsidR="002C553A" w:rsidRDefault="002C553A" w:rsidP="002C553A">
      <w:pPr>
        <w:spacing w:before="0" w:after="0" w:line="240" w:lineRule="auto"/>
        <w:ind w:firstLine="0"/>
        <w:rPr>
          <w:rStyle w:val="FootnoteChar"/>
          <w:sz w:val="28"/>
        </w:rPr>
      </w:pPr>
    </w:p>
    <w:p w:rsidR="001A2FCD" w:rsidRDefault="001A2FCD" w:rsidP="002C553A">
      <w:pPr>
        <w:spacing w:before="0" w:after="0" w:line="240" w:lineRule="auto"/>
        <w:ind w:firstLine="0"/>
        <w:rPr>
          <w:rStyle w:val="FootnoteChar"/>
          <w:sz w:val="28"/>
        </w:rPr>
      </w:pPr>
    </w:p>
    <w:p w:rsidR="001A2FCD" w:rsidRDefault="00357F30" w:rsidP="00357F30">
      <w:pPr>
        <w:rPr>
          <w:rStyle w:val="FootnoteChar"/>
          <w:sz w:val="28"/>
        </w:rPr>
      </w:pPr>
      <w:r>
        <w:t xml:space="preserve">[T]he Trust Code does not contemplate that an accounting will settle the trustee’s tort liability. As noted, section 113.152 establishes the contents of an accounting and requires the trustee to list trust property, transactions, property, cash, and all known liabilities owed by the trust. It simply does not reach the trustee’s tort liability. This conclusion is supported by the Trust Code’s structure, which includes Subchapter E “Accounting by Trustee” within Chapter 113, entitled “Administration.” In contrast, Chapter 114 concerns “liabilities, rights, and </w:t>
      </w:r>
      <w:proofErr w:type="gramStart"/>
      <w:r>
        <w:t>remedies</w:t>
      </w:r>
      <w:proofErr w:type="gramEnd"/>
      <w:r>
        <w:t xml:space="preserve"> of trustees,   beneficiaries, and third persons.”</w:t>
      </w:r>
    </w:p>
    <w:p w:rsidR="001A2FCD" w:rsidRDefault="001A2FCD" w:rsidP="002C553A">
      <w:pPr>
        <w:spacing w:before="0" w:after="0" w:line="240" w:lineRule="auto"/>
        <w:ind w:firstLine="0"/>
        <w:rPr>
          <w:rStyle w:val="FootnoteChar"/>
          <w:sz w:val="28"/>
        </w:rPr>
      </w:pPr>
    </w:p>
    <w:p w:rsidR="001A2FCD" w:rsidRDefault="001A2FCD" w:rsidP="002C553A">
      <w:pPr>
        <w:spacing w:before="0" w:after="0" w:line="240" w:lineRule="auto"/>
        <w:ind w:firstLine="0"/>
        <w:rPr>
          <w:rStyle w:val="FootnoteChar"/>
          <w:sz w:val="28"/>
        </w:rPr>
      </w:pPr>
    </w:p>
    <w:p w:rsidR="001A2FCD" w:rsidRDefault="001A2FCD" w:rsidP="002C553A">
      <w:pPr>
        <w:spacing w:before="0" w:after="0" w:line="240" w:lineRule="auto"/>
        <w:ind w:firstLine="0"/>
        <w:rPr>
          <w:rStyle w:val="FootnoteChar"/>
          <w:sz w:val="28"/>
        </w:rPr>
      </w:pPr>
    </w:p>
    <w:p w:rsidR="001A2FCD" w:rsidRDefault="001A2FCD" w:rsidP="002C553A">
      <w:pPr>
        <w:spacing w:before="0" w:after="0" w:line="240" w:lineRule="auto"/>
        <w:ind w:firstLine="0"/>
        <w:rPr>
          <w:rStyle w:val="FootnoteChar"/>
          <w:sz w:val="28"/>
        </w:rPr>
      </w:pPr>
    </w:p>
    <w:p w:rsidR="002C553A" w:rsidRDefault="002C553A" w:rsidP="002C553A">
      <w:pPr>
        <w:spacing w:before="0" w:after="0" w:line="240" w:lineRule="auto"/>
        <w:ind w:firstLine="0"/>
        <w:rPr>
          <w:rStyle w:val="FootnoteChar"/>
          <w:sz w:val="28"/>
        </w:rPr>
      </w:pPr>
    </w:p>
    <w:p w:rsidR="002C553A" w:rsidRDefault="002C553A" w:rsidP="002C553A">
      <w:pPr>
        <w:spacing w:before="0" w:after="0" w:line="240" w:lineRule="auto"/>
        <w:ind w:firstLine="0"/>
        <w:rPr>
          <w:rStyle w:val="FootnoteChar"/>
          <w:sz w:val="28"/>
        </w:rPr>
      </w:pPr>
    </w:p>
    <w:p w:rsidR="002C553A" w:rsidRDefault="002C553A" w:rsidP="002C553A">
      <w:pPr>
        <w:spacing w:before="0" w:after="0" w:line="240" w:lineRule="auto"/>
        <w:ind w:firstLine="0"/>
        <w:rPr>
          <w:rStyle w:val="FootnoteChar"/>
          <w:sz w:val="28"/>
        </w:rPr>
      </w:pPr>
    </w:p>
    <w:p w:rsidR="002C553A" w:rsidRDefault="002C553A" w:rsidP="002C553A">
      <w:pPr>
        <w:spacing w:before="0" w:after="0" w:line="240" w:lineRule="auto"/>
        <w:ind w:firstLine="0"/>
        <w:rPr>
          <w:rStyle w:val="FootnoteChar"/>
          <w:sz w:val="28"/>
        </w:rPr>
      </w:pPr>
    </w:p>
    <w:p w:rsidR="00C569EE" w:rsidRPr="00683471" w:rsidRDefault="00C569EE" w:rsidP="00683471">
      <w:pPr>
        <w:rPr>
          <w:sz w:val="32"/>
        </w:rPr>
      </w:pPr>
      <w:r w:rsidRPr="00683471">
        <w:rPr>
          <w:rStyle w:val="FootnoteChar"/>
          <w:sz w:val="28"/>
        </w:rPr>
        <w:lastRenderedPageBreak/>
        <w:t>Appellants</w:t>
      </w:r>
      <w:r w:rsidR="00683471">
        <w:rPr>
          <w:rStyle w:val="FootnoteChar"/>
          <w:sz w:val="28"/>
        </w:rPr>
        <w:t xml:space="preserve">’ previously filed </w:t>
      </w:r>
      <w:r w:rsidRPr="00683471">
        <w:rPr>
          <w:rStyle w:val="FootnoteChar"/>
          <w:sz w:val="28"/>
        </w:rPr>
        <w:t>Petition for Writ of Mandamus [FDCA No. 10-22-00513-CV] is hereby adopted and incorporated by reference as if fully set forth</w:t>
      </w:r>
      <w:r w:rsidR="00683471" w:rsidRPr="00683471">
        <w:rPr>
          <w:rStyle w:val="FootnoteChar"/>
          <w:sz w:val="28"/>
        </w:rPr>
        <w:t xml:space="preserve"> herein and Appellant</w:t>
      </w:r>
      <w:r w:rsidRPr="00683471">
        <w:rPr>
          <w:rStyle w:val="FootnoteChar"/>
          <w:sz w:val="28"/>
        </w:rPr>
        <w:t xml:space="preserve"> asks the court to take judicial notice under </w:t>
      </w:r>
      <w:r w:rsidR="00683471" w:rsidRPr="00683471">
        <w:rPr>
          <w:rStyle w:val="FootnoteChar"/>
          <w:sz w:val="28"/>
        </w:rPr>
        <w:t>Texas Rules Of Evidence</w:t>
      </w:r>
      <w:r w:rsidRPr="00683471">
        <w:rPr>
          <w:rStyle w:val="FootnoteChar"/>
          <w:sz w:val="28"/>
        </w:rPr>
        <w:t xml:space="preserve"> § 201.1</w:t>
      </w:r>
      <w:r w:rsidR="00683471">
        <w:rPr>
          <w:rStyle w:val="FootnoteChar"/>
          <w:sz w:val="28"/>
        </w:rPr>
        <w:t>.</w:t>
      </w:r>
    </w:p>
    <w:p w:rsidR="00DB3AF8" w:rsidRPr="00683471" w:rsidRDefault="00DB3AF8" w:rsidP="006A2C0D">
      <w:pPr>
        <w:pStyle w:val="NoSpacing"/>
      </w:pPr>
      <w:r w:rsidRPr="00683471">
        <w:t xml:space="preserve">Tab 11: Docket in 412248 estate of Elmer H. Brunsting </w:t>
      </w:r>
      <w:r w:rsidRPr="00683471">
        <w:t>p.</w:t>
      </w:r>
      <w:r w:rsidRPr="00683471">
        <w:t>231</w:t>
      </w:r>
    </w:p>
    <w:p w:rsidR="00C569EE" w:rsidRPr="00683471" w:rsidRDefault="00C569EE" w:rsidP="006A2C0D">
      <w:pPr>
        <w:pStyle w:val="NoSpacing"/>
      </w:pPr>
      <w:r w:rsidRPr="00683471">
        <w:t xml:space="preserve">Tab 12: the will of Elmer H. Brunsting </w:t>
      </w:r>
      <w:r w:rsidRPr="00683471">
        <w:t>p.</w:t>
      </w:r>
      <w:r w:rsidRPr="00683471">
        <w:t>236</w:t>
      </w:r>
    </w:p>
    <w:p w:rsidR="00C569EE" w:rsidRPr="00683471" w:rsidRDefault="00C569EE" w:rsidP="006A2C0D">
      <w:pPr>
        <w:pStyle w:val="NoSpacing"/>
      </w:pPr>
      <w:r w:rsidRPr="00683471">
        <w:t xml:space="preserve">Tab 13: Statement of death and other facts 412,248 </w:t>
      </w:r>
      <w:r w:rsidRPr="00683471">
        <w:t>p.</w:t>
      </w:r>
      <w:r w:rsidRPr="00683471">
        <w:t>250</w:t>
      </w:r>
    </w:p>
    <w:p w:rsidR="00C569EE" w:rsidRPr="00683471" w:rsidRDefault="00C569EE" w:rsidP="006A2C0D">
      <w:pPr>
        <w:pStyle w:val="NoSpacing"/>
      </w:pPr>
      <w:r w:rsidRPr="00683471">
        <w:t>Tab 14: order admitting the will of Elmer H. Brunsting [No. 412,248]</w:t>
      </w:r>
      <w:r w:rsidRPr="00683471">
        <w:t xml:space="preserve"> </w:t>
      </w:r>
      <w:r w:rsidRPr="00683471">
        <w:t xml:space="preserve">and issuing Letters Testamentary </w:t>
      </w:r>
      <w:r w:rsidRPr="00683471">
        <w:t>p.</w:t>
      </w:r>
      <w:r w:rsidRPr="00683471">
        <w:t>254</w:t>
      </w:r>
    </w:p>
    <w:p w:rsidR="00C569EE" w:rsidRPr="00683471" w:rsidRDefault="00C569EE" w:rsidP="006A2C0D">
      <w:pPr>
        <w:pStyle w:val="NoSpacing"/>
      </w:pPr>
      <w:r w:rsidRPr="00683471">
        <w:t xml:space="preserve">Tab 15: Inventory and Order Approving Inventory Case 412248 </w:t>
      </w:r>
      <w:r w:rsidRPr="00683471">
        <w:t>p.</w:t>
      </w:r>
      <w:r w:rsidRPr="00683471">
        <w:t>258</w:t>
      </w:r>
    </w:p>
    <w:p w:rsidR="00C569EE" w:rsidRPr="00683471" w:rsidRDefault="00C569EE" w:rsidP="006A2C0D">
      <w:pPr>
        <w:pStyle w:val="NoSpacing"/>
      </w:pPr>
      <w:r w:rsidRPr="00683471">
        <w:t xml:space="preserve">Tab 16: Drop Order 412248 Estate of Elmer Brunsting </w:t>
      </w:r>
      <w:r w:rsidRPr="00683471">
        <w:t>p.</w:t>
      </w:r>
      <w:r w:rsidRPr="00683471">
        <w:t>269</w:t>
      </w:r>
    </w:p>
    <w:p w:rsidR="00C569EE" w:rsidRPr="00683471" w:rsidRDefault="00C569EE" w:rsidP="006A2C0D">
      <w:pPr>
        <w:pStyle w:val="NoSpacing"/>
      </w:pPr>
      <w:r w:rsidRPr="00683471">
        <w:t xml:space="preserve">Tab 17: Docket sheet 412249 </w:t>
      </w:r>
      <w:r w:rsidRPr="00683471">
        <w:t>p.</w:t>
      </w:r>
      <w:r w:rsidRPr="00683471">
        <w:t>272</w:t>
      </w:r>
    </w:p>
    <w:p w:rsidR="00C569EE" w:rsidRPr="00683471" w:rsidRDefault="00C569EE" w:rsidP="006A2C0D">
      <w:pPr>
        <w:pStyle w:val="NoSpacing"/>
      </w:pPr>
      <w:r w:rsidRPr="00683471">
        <w:t xml:space="preserve">Tab 18: the will of Nelva E. Brunsting </w:t>
      </w:r>
      <w:r w:rsidRPr="00683471">
        <w:t>p.</w:t>
      </w:r>
      <w:r w:rsidRPr="00683471">
        <w:t>287</w:t>
      </w:r>
    </w:p>
    <w:p w:rsidR="00C569EE" w:rsidRPr="00683471" w:rsidRDefault="00C569EE" w:rsidP="006A2C0D">
      <w:pPr>
        <w:pStyle w:val="NoSpacing"/>
      </w:pPr>
      <w:r w:rsidRPr="00683471">
        <w:t xml:space="preserve">Tab 19: Statement of death and other facts 412249 </w:t>
      </w:r>
      <w:r w:rsidRPr="00683471">
        <w:t>p.</w:t>
      </w:r>
      <w:r w:rsidRPr="00683471">
        <w:t>300</w:t>
      </w:r>
    </w:p>
    <w:p w:rsidR="00C569EE" w:rsidRPr="00683471" w:rsidRDefault="00C569EE" w:rsidP="006A2C0D">
      <w:pPr>
        <w:pStyle w:val="NoSpacing"/>
      </w:pPr>
      <w:r w:rsidRPr="00683471">
        <w:t>Tab 20: order admitting the will of Nelva E. Brunsting and issuing</w:t>
      </w:r>
      <w:r w:rsidRPr="00683471">
        <w:t xml:space="preserve"> </w:t>
      </w:r>
      <w:r w:rsidRPr="00683471">
        <w:t xml:space="preserve">Letters Testamentary </w:t>
      </w:r>
      <w:r w:rsidRPr="00683471">
        <w:t>p.</w:t>
      </w:r>
      <w:r w:rsidRPr="00683471">
        <w:t>303</w:t>
      </w:r>
    </w:p>
    <w:p w:rsidR="00C569EE" w:rsidRPr="00683471" w:rsidRDefault="00C569EE" w:rsidP="006A2C0D">
      <w:pPr>
        <w:pStyle w:val="NoSpacing"/>
      </w:pPr>
      <w:r w:rsidRPr="00683471">
        <w:t xml:space="preserve">Tab 21: inventory, appraisement and list of claims 412249 </w:t>
      </w:r>
      <w:r w:rsidRPr="00683471">
        <w:t>p.</w:t>
      </w:r>
      <w:r w:rsidRPr="00683471">
        <w:t>306</w:t>
      </w:r>
    </w:p>
    <w:p w:rsidR="00C569EE" w:rsidRPr="00683471" w:rsidRDefault="00C569EE" w:rsidP="006A2C0D">
      <w:pPr>
        <w:pStyle w:val="NoSpacing"/>
      </w:pPr>
      <w:r w:rsidRPr="00683471">
        <w:t xml:space="preserve">Tab 22: Order Approving Inventory 412249 </w:t>
      </w:r>
      <w:r w:rsidRPr="00683471">
        <w:t>p.</w:t>
      </w:r>
      <w:r w:rsidRPr="00683471">
        <w:t>315</w:t>
      </w:r>
    </w:p>
    <w:p w:rsidR="00C569EE" w:rsidRPr="00683471" w:rsidRDefault="00C569EE" w:rsidP="006A2C0D">
      <w:pPr>
        <w:pStyle w:val="NoSpacing"/>
      </w:pPr>
      <w:r w:rsidRPr="00683471">
        <w:t xml:space="preserve">Tab 23: Drop Order </w:t>
      </w:r>
      <w:proofErr w:type="gramStart"/>
      <w:r w:rsidRPr="00683471">
        <w:t xml:space="preserve">in 412249 </w:t>
      </w:r>
      <w:r w:rsidRPr="00683471">
        <w:t>p.</w:t>
      </w:r>
      <w:r w:rsidRPr="00683471">
        <w:t>317</w:t>
      </w:r>
      <w:proofErr w:type="gramEnd"/>
      <w:r w:rsidRPr="00683471">
        <w:t xml:space="preserve"> </w:t>
      </w:r>
    </w:p>
    <w:p w:rsidR="00C569EE" w:rsidRPr="00683471" w:rsidRDefault="00C569EE" w:rsidP="006A2C0D">
      <w:pPr>
        <w:pStyle w:val="NoSpacing"/>
      </w:pPr>
      <w:r w:rsidRPr="00683471">
        <w:t>Tab 27: Order approving Carl's Resignation p.372</w:t>
      </w:r>
    </w:p>
    <w:p w:rsidR="00DB3AF8" w:rsidRPr="00683471" w:rsidRDefault="00DB3AF8" w:rsidP="006A2C0D">
      <w:pPr>
        <w:pStyle w:val="NoSpacing"/>
      </w:pPr>
    </w:p>
    <w:p w:rsidR="00DB3AF8" w:rsidRDefault="00383257">
      <w:pPr>
        <w:rPr>
          <w:szCs w:val="28"/>
        </w:rPr>
      </w:pPr>
      <w:r>
        <w:rPr>
          <w:szCs w:val="28"/>
        </w:rPr>
        <w:t>The clerk will not include certain indispensable records, including those from the base probate case showing that a probate proceeding is pending in that court. [ROA 1]</w:t>
      </w:r>
      <w:r>
        <w:rPr>
          <w:rStyle w:val="FootnoteReference"/>
          <w:szCs w:val="28"/>
        </w:rPr>
        <w:footnoteReference w:id="2"/>
      </w:r>
    </w:p>
    <w:p w:rsidR="00713CF9" w:rsidRDefault="00660012">
      <w:pPr>
        <w:rPr>
          <w:szCs w:val="28"/>
        </w:rPr>
      </w:pPr>
      <w:r>
        <w:rPr>
          <w:szCs w:val="28"/>
        </w:rPr>
        <w:t xml:space="preserve">They </w:t>
      </w:r>
    </w:p>
    <w:p w:rsidR="00586396" w:rsidRDefault="00586396" w:rsidP="00586396">
      <w:pPr>
        <w:rPr>
          <w:szCs w:val="28"/>
        </w:rPr>
      </w:pPr>
      <w:r w:rsidRPr="00F72072">
        <w:rPr>
          <w:szCs w:val="28"/>
        </w:rPr>
        <w:lastRenderedPageBreak/>
        <w:t xml:space="preserve">Let’s assume for the sake of argument that there is a related probate proceeding pending in the probate court in this case. What interest does the pour-over estate have in </w:t>
      </w:r>
      <w:r>
        <w:rPr>
          <w:szCs w:val="28"/>
        </w:rPr>
        <w:t>a</w:t>
      </w:r>
      <w:r w:rsidRPr="00F72072">
        <w:rPr>
          <w:szCs w:val="28"/>
        </w:rPr>
        <w:t xml:space="preserve"> lawsuit embroiling the sole devisee and its beneficiaries in the probate court? What benefit could the pour-over estate </w:t>
      </w:r>
      <w:r>
        <w:rPr>
          <w:szCs w:val="28"/>
        </w:rPr>
        <w:t xml:space="preserve">possibly </w:t>
      </w:r>
      <w:r w:rsidRPr="00F72072">
        <w:rPr>
          <w:szCs w:val="28"/>
        </w:rPr>
        <w:t xml:space="preserve">obtain from the lawsuit </w:t>
      </w:r>
      <w:r>
        <w:rPr>
          <w:szCs w:val="28"/>
        </w:rPr>
        <w:t xml:space="preserve">among the </w:t>
      </w:r>
      <w:r w:rsidRPr="00F72072">
        <w:rPr>
          <w:szCs w:val="28"/>
        </w:rPr>
        <w:t xml:space="preserve">beneficiaries </w:t>
      </w:r>
      <w:r>
        <w:rPr>
          <w:szCs w:val="28"/>
        </w:rPr>
        <w:t>of the</w:t>
      </w:r>
      <w:r w:rsidRPr="00F72072">
        <w:rPr>
          <w:szCs w:val="28"/>
        </w:rPr>
        <w:t xml:space="preserve"> sole devisee?</w:t>
      </w:r>
      <w:r>
        <w:rPr>
          <w:szCs w:val="28"/>
        </w:rPr>
        <w:t xml:space="preserve"> </w:t>
      </w:r>
    </w:p>
    <w:p w:rsidR="00247C2E" w:rsidRDefault="00247C2E" w:rsidP="00586396">
      <w:pPr>
        <w:rPr>
          <w:szCs w:val="28"/>
        </w:rPr>
      </w:pPr>
    </w:p>
    <w:p w:rsidR="00247C2E" w:rsidRDefault="00247C2E" w:rsidP="00247C2E">
      <w:pPr>
        <w:rPr>
          <w:szCs w:val="28"/>
        </w:rPr>
      </w:pPr>
      <w:r>
        <w:rPr>
          <w:szCs w:val="28"/>
        </w:rPr>
        <w:t>At a hearing on a Rule 60 Motion in the Southern District of Texas Stephen Mendel, attorney for Co-Trustee Defendant Appellee Anita Brunsting admitted to United States District Court Judge Kenneth Hoyt Jr. that the probate case was “administratively closed”.</w:t>
      </w:r>
      <w:r>
        <w:rPr>
          <w:rStyle w:val="FootnoteReference"/>
          <w:szCs w:val="28"/>
        </w:rPr>
        <w:footnoteReference w:id="3"/>
      </w:r>
      <w:r>
        <w:rPr>
          <w:szCs w:val="28"/>
        </w:rPr>
        <w:t xml:space="preserve"> Appellant interprets that as an admission.</w:t>
      </w:r>
    </w:p>
    <w:p w:rsidR="00EB76B3" w:rsidRDefault="00EB76B3" w:rsidP="00EB76B3">
      <w:pPr>
        <w:rPr>
          <w:szCs w:val="28"/>
        </w:rPr>
      </w:pPr>
      <w:r>
        <w:rPr>
          <w:szCs w:val="28"/>
        </w:rPr>
        <w:t>Appellant requests the court take judicial notice of a document filed in the Southern District of Texas on April 8, 2022 by Appellee Anita Brunsting, in effort to deceive the court into believing that Carl Brunstings’ 412249-401 action in the probate court</w:t>
      </w:r>
      <w:r>
        <w:rPr>
          <w:rStyle w:val="FootnoteReference"/>
          <w:szCs w:val="28"/>
        </w:rPr>
        <w:footnoteReference w:id="4"/>
      </w:r>
      <w:r>
        <w:rPr>
          <w:szCs w:val="28"/>
        </w:rPr>
        <w:t xml:space="preserve"> was filed by Appellant. The Mendel law firm also has an entry</w:t>
      </w:r>
      <w:r>
        <w:rPr>
          <w:rStyle w:val="FootnoteReference"/>
          <w:szCs w:val="28"/>
        </w:rPr>
        <w:footnoteReference w:id="5"/>
      </w:r>
      <w:r>
        <w:rPr>
          <w:szCs w:val="28"/>
        </w:rPr>
        <w:t xml:space="preserve"> dated January 9, 2015 observing problems with the remand of the federal case that had not been removed and that attorney J. Ostrom apparently intended to </w:t>
      </w:r>
      <w:r>
        <w:rPr>
          <w:szCs w:val="28"/>
        </w:rPr>
        <w:lastRenderedPageBreak/>
        <w:t>undermine his client’s case even further by nonsuit of the federal injunction issued to protect the trust and its beneficiaries from the conduct described by United States District Judge Kenneth Hoyt at the injunction hearing April 9, 2013, the same day Carl Brunsting filed the action under review.</w:t>
      </w:r>
      <w:r>
        <w:rPr>
          <w:rStyle w:val="FootnoteReference"/>
          <w:szCs w:val="28"/>
        </w:rPr>
        <w:footnoteReference w:id="6"/>
      </w:r>
    </w:p>
    <w:p w:rsidR="00EB76B3" w:rsidRDefault="00EB76B3" w:rsidP="00EB76B3">
      <w:pPr>
        <w:rPr>
          <w:szCs w:val="28"/>
        </w:rPr>
      </w:pPr>
      <w:r>
        <w:rPr>
          <w:szCs w:val="28"/>
        </w:rPr>
        <w:t xml:space="preserve">Fortunately Appellant Terminated Ostrom as counsel before he could cause any more harm to his client’s case and appellant’s injunction remains in force </w:t>
      </w:r>
      <w:r w:rsidRPr="00EA5759">
        <w:rPr>
          <w:szCs w:val="28"/>
        </w:rPr>
        <w:t>[Reporters Record Vol 3 of 3</w:t>
      </w:r>
      <w:r>
        <w:rPr>
          <w:szCs w:val="28"/>
        </w:rPr>
        <w:t>, p.16-17</w:t>
      </w:r>
      <w:r w:rsidRPr="00EA5759">
        <w:rPr>
          <w:szCs w:val="28"/>
        </w:rPr>
        <w:t>]</w:t>
      </w:r>
      <w:r>
        <w:rPr>
          <w:szCs w:val="28"/>
        </w:rPr>
        <w:t xml:space="preserve"> and is the only thing protecting this family and their trust from the egregious financial misconduct Appellees argue will be wiped away by a proper determination from this court.</w:t>
      </w:r>
    </w:p>
    <w:p w:rsidR="00BE1ACF" w:rsidRDefault="00BE1ACF" w:rsidP="00BE1ACF">
      <w:pPr>
        <w:widowControl w:val="0"/>
        <w:rPr>
          <w:szCs w:val="28"/>
        </w:rPr>
      </w:pPr>
      <w:r>
        <w:rPr>
          <w:szCs w:val="28"/>
        </w:rPr>
        <w:t>Either the statutory probate court had subject matter jurisdiction over Carl Brunstings Original Petition or it did not. Either the statutory probate court had subject matter jurisdiction over Defendant Co-Trustees Original Counter Claims or it did not. Either the statutory probate court rendered summary judgment or it did not. If the trial court never had jurisdiction over the subject matter of the plaintiff’s original petition the voidable nature of the summary judgment order need not be addressed at all.</w:t>
      </w:r>
    </w:p>
    <w:p w:rsidR="00D7451B" w:rsidRPr="00FF27A4" w:rsidRDefault="00D7451B" w:rsidP="00D7451B">
      <w:pPr>
        <w:pStyle w:val="Heading2"/>
      </w:pPr>
      <w:r w:rsidRPr="00FF27A4">
        <w:t>Absence of Statutory Probate Court Jurisdiction</w:t>
      </w:r>
    </w:p>
    <w:p w:rsidR="00D7451B" w:rsidRPr="00FF27A4" w:rsidRDefault="00D7451B" w:rsidP="00D7451B">
      <w:r w:rsidRPr="00FF27A4">
        <w:lastRenderedPageBreak/>
        <w:t>Was the Settlor a Decedent in a probate matter pending</w:t>
      </w:r>
      <w:r>
        <w:rPr>
          <w:rStyle w:val="FootnoteReference"/>
        </w:rPr>
        <w:footnoteReference w:id="7"/>
      </w:r>
      <w:r w:rsidRPr="00FF27A4">
        <w:t xml:space="preserve"> in the probate court at the time the independent executor filed his trust related tort suit in the probate court?</w:t>
      </w:r>
      <w:r>
        <w:rPr>
          <w:rStyle w:val="FootnoteReference"/>
        </w:rPr>
        <w:footnoteReference w:id="8"/>
      </w:r>
      <w:r w:rsidRPr="00FF27A4">
        <w:t xml:space="preserve"> [Local Rule 2.6.5 and Property Code § 115] Independent administration ends when the debts are paid and the assets have been distributed. Independent administration means independent of probate court jurisdiction. </w:t>
      </w:r>
    </w:p>
    <w:p w:rsidR="00BE1ACF" w:rsidRDefault="00BE1ACF" w:rsidP="00CB648F">
      <w:pPr>
        <w:pStyle w:val="Heading2"/>
      </w:pPr>
    </w:p>
    <w:p w:rsidR="000A6B0E" w:rsidRPr="00FF27A4" w:rsidRDefault="000A6B0E" w:rsidP="00CB648F">
      <w:pPr>
        <w:pStyle w:val="Heading2"/>
      </w:pPr>
      <w:r w:rsidRPr="00FF27A4">
        <w:t>Judicial Economy and Efficiency</w:t>
      </w:r>
    </w:p>
    <w:p w:rsidR="000A6B0E" w:rsidRPr="00FF27A4" w:rsidRDefault="000A6B0E" w:rsidP="000A6B0E">
      <w:pPr>
        <w:rPr>
          <w:szCs w:val="28"/>
        </w:rPr>
      </w:pPr>
      <w:proofErr w:type="gramStart"/>
      <w:r>
        <w:rPr>
          <w:szCs w:val="28"/>
        </w:rPr>
        <w:t xml:space="preserve">Silence </w:t>
      </w:r>
      <w:r w:rsidRPr="00FF27A4">
        <w:rPr>
          <w:szCs w:val="28"/>
        </w:rPr>
        <w:t>that after ten years in probate court there is a complete absence of anything remotely resembling litigation.</w:t>
      </w:r>
      <w:proofErr w:type="gramEnd"/>
      <w:r w:rsidRPr="00FF27A4">
        <w:rPr>
          <w:szCs w:val="28"/>
        </w:rPr>
        <w:t xml:space="preserve"> One cannot even find a declaratory judgment determining the instruments that contain the rights of the beneficiary and the obligations of the trustee. [ROA]</w:t>
      </w:r>
    </w:p>
    <w:p w:rsidR="00EA04A6" w:rsidRPr="00B805D0" w:rsidRDefault="00EA04A6" w:rsidP="00EA04A6">
      <w:pPr>
        <w:pStyle w:val="Heading2"/>
      </w:pPr>
      <w:r w:rsidRPr="00B805D0">
        <w:t>Judicial Admissions</w:t>
      </w:r>
    </w:p>
    <w:p w:rsidR="00EA04A6" w:rsidRPr="00FF27A4" w:rsidRDefault="00EA04A6" w:rsidP="00EA04A6">
      <w:pPr>
        <w:pStyle w:val="Quote"/>
        <w:widowControl w:val="0"/>
      </w:pPr>
      <w:r w:rsidRPr="00B805D0">
        <w:t xml:space="preserve">See TX Far W., Ltd. v. Tex. </w:t>
      </w:r>
      <w:proofErr w:type="spellStart"/>
      <w:r w:rsidRPr="00B805D0">
        <w:t>Invs</w:t>
      </w:r>
      <w:proofErr w:type="spellEnd"/>
      <w:r w:rsidRPr="00B805D0">
        <w:t>. Mgmt., Inc.</w:t>
      </w:r>
      <w:proofErr w:type="gramStart"/>
      <w:r w:rsidRPr="00B805D0">
        <w:t>,</w:t>
      </w:r>
      <w:proofErr w:type="gramEnd"/>
      <w:r w:rsidRPr="00B805D0">
        <w:fldChar w:fldCharType="begin"/>
      </w:r>
      <w:r w:rsidRPr="00B805D0">
        <w:instrText xml:space="preserve"> HYPERLINK "https://casetext.com/case/tx-far-west-v-texas-inv" \l "p307" </w:instrText>
      </w:r>
      <w:r w:rsidRPr="00B805D0">
        <w:fldChar w:fldCharType="separate"/>
      </w:r>
      <w:r w:rsidRPr="00B805D0">
        <w:rPr>
          <w:rStyle w:val="Hyperlink"/>
        </w:rPr>
        <w:t>127 S.W.3d 295, 307</w:t>
      </w:r>
      <w:r w:rsidRPr="00B805D0">
        <w:rPr>
          <w:rStyle w:val="Hyperlink"/>
        </w:rPr>
        <w:fldChar w:fldCharType="end"/>
      </w:r>
      <w:r w:rsidRPr="00B805D0">
        <w:t xml:space="preserve"> (Tex. App.-Austin 2004, no pet.) ("It is well established that 'assertions of fact . . . in the live pleadings of a party are regarded as formal judicial admissions.'" (quoting Holy Cross Church of God in Christ v. Wolf</w:t>
      </w:r>
      <w:proofErr w:type="gramStart"/>
      <w:r w:rsidRPr="00B805D0">
        <w:t>,</w:t>
      </w:r>
      <w:proofErr w:type="gramEnd"/>
      <w:r w:rsidRPr="00B805D0">
        <w:fldChar w:fldCharType="begin"/>
      </w:r>
      <w:r w:rsidRPr="00B805D0">
        <w:instrText xml:space="preserve"> HYPERLINK "https://casetext.com/case/holy-cross-church-of-god-in-christ-v-wolf" \l "p568" </w:instrText>
      </w:r>
      <w:r w:rsidRPr="00B805D0">
        <w:fldChar w:fldCharType="separate"/>
      </w:r>
      <w:r w:rsidRPr="00B805D0">
        <w:rPr>
          <w:rStyle w:val="Hyperlink"/>
        </w:rPr>
        <w:t>44 S.W.3d 562, 568</w:t>
      </w:r>
      <w:r w:rsidRPr="00B805D0">
        <w:rPr>
          <w:rStyle w:val="Hyperlink"/>
        </w:rPr>
        <w:fldChar w:fldCharType="end"/>
      </w:r>
      <w:r w:rsidRPr="00B805D0">
        <w:t xml:space="preserve"> (Tex. 2001))).</w:t>
      </w:r>
      <w:r>
        <w:t xml:space="preserve"> </w:t>
      </w:r>
      <w:proofErr w:type="spellStart"/>
      <w:r w:rsidRPr="00B805D0">
        <w:rPr>
          <w:i w:val="0"/>
          <w:iCs w:val="0"/>
        </w:rPr>
        <w:t>Bookout</w:t>
      </w:r>
      <w:proofErr w:type="spellEnd"/>
      <w:r w:rsidRPr="00B805D0">
        <w:rPr>
          <w:i w:val="0"/>
          <w:iCs w:val="0"/>
        </w:rPr>
        <w:t xml:space="preserve"> v. Shelley</w:t>
      </w:r>
      <w:r w:rsidRPr="00B805D0">
        <w:t>, No. 02-22-00055-CV, at *24 n.13 (Tex. App. Nov. 23, 2022)</w:t>
      </w:r>
    </w:p>
    <w:p w:rsidR="00EA04A6" w:rsidRPr="00FF27A4" w:rsidRDefault="00EA04A6" w:rsidP="00EA04A6">
      <w:pPr>
        <w:pStyle w:val="NoSpacing"/>
      </w:pPr>
    </w:p>
    <w:p w:rsidR="00EA04A6" w:rsidRPr="00FF27A4" w:rsidRDefault="00EA04A6" w:rsidP="00EA04A6">
      <w:pPr>
        <w:pStyle w:val="Heading2"/>
      </w:pPr>
      <w:r w:rsidRPr="00FF27A4">
        <w:t xml:space="preserve"> Preliminary Injunction</w:t>
      </w:r>
    </w:p>
    <w:p w:rsidR="00EA04A6" w:rsidRPr="00FF27A4" w:rsidRDefault="00EA04A6" w:rsidP="00EA04A6">
      <w:pPr>
        <w:rPr>
          <w:b/>
        </w:rPr>
      </w:pPr>
      <w:r w:rsidRPr="00FF27A4">
        <w:lastRenderedPageBreak/>
        <w:t xml:space="preserve">According to the honorable Judge Stone, the preliminary injunction issued in response to federal Plaintiff Candace Curtis remains in full force and effect. </w:t>
      </w:r>
      <w:r w:rsidRPr="00FF27A4">
        <w:rPr>
          <w:b/>
        </w:rPr>
        <w:t xml:space="preserve">To what Court would the Defendant Co-Trustee Appellees turn for permission to perform acts prohibited by the federal court without court approval? </w:t>
      </w:r>
    </w:p>
    <w:p w:rsidR="00EB76B3" w:rsidRDefault="00EB76B3" w:rsidP="00EB76B3">
      <w:pPr>
        <w:rPr>
          <w:szCs w:val="28"/>
        </w:rPr>
      </w:pPr>
    </w:p>
    <w:p w:rsidR="00EE232F" w:rsidRDefault="00EE232F" w:rsidP="00EE232F">
      <w:pPr>
        <w:pStyle w:val="Heading2"/>
      </w:pPr>
      <w:r w:rsidRPr="00FF27A4">
        <w:t xml:space="preserve">FACTS: </w:t>
      </w:r>
    </w:p>
    <w:p w:rsidR="00EE232F" w:rsidRPr="00FF27A4" w:rsidRDefault="00EE232F" w:rsidP="00EE232F">
      <w:pPr>
        <w:pStyle w:val="NoSpacing"/>
      </w:pPr>
      <w:r w:rsidRPr="00FF27A4">
        <w:t xml:space="preserve">Independent Administration – pour-over will – Executor authority comes from the will. </w:t>
      </w:r>
    </w:p>
    <w:p w:rsidR="00EE232F" w:rsidRPr="00FF27A4" w:rsidRDefault="00EE232F" w:rsidP="00EE232F">
      <w:pPr>
        <w:pStyle w:val="NoSpacing"/>
      </w:pPr>
      <w:r w:rsidRPr="00FF27A4">
        <w:t>The Verified Inventory was filed and the independent administration was closed prior to Carl’s ancillary tort action [ROA] and either Carl’s original Petition [ROA] invoked the jurisdiction of a statutory probate court or it did not.</w:t>
      </w:r>
    </w:p>
    <w:p w:rsidR="00EE232F" w:rsidRPr="00FF27A4" w:rsidRDefault="00EE232F" w:rsidP="00EE232F">
      <w:pPr>
        <w:pStyle w:val="NoSpacing"/>
      </w:pPr>
      <w:r w:rsidRPr="00FF27A4">
        <w:t>Either Carl had standing to bring these claim in the probate court as an independent executor after the independent administration closed or he did not. The wills say he did not [ROA].</w:t>
      </w:r>
    </w:p>
    <w:p w:rsidR="00EE232F" w:rsidRPr="00FF27A4" w:rsidRDefault="00EE232F" w:rsidP="00EE232F">
      <w:pPr>
        <w:pStyle w:val="NoSpacing"/>
      </w:pPr>
      <w:r w:rsidRPr="00FF27A4">
        <w:t>Appellees claim the matter was not filed as ancillary but the record states otherwise. Either the 412,249-401 case was filed as ancillary to 412,249 or it was not. 412249-401 is an ancillary case number. [</w:t>
      </w:r>
      <w:r w:rsidRPr="00E03538">
        <w:rPr>
          <w:highlight w:val="yellow"/>
        </w:rPr>
        <w:t>ROA Exhibit x LR 2.4</w:t>
      </w:r>
      <w:r w:rsidRPr="00FF27A4">
        <w:t>]</w:t>
      </w:r>
    </w:p>
    <w:p w:rsidR="00EE232F" w:rsidRPr="00FF27A4" w:rsidRDefault="00EE232F" w:rsidP="00EE232F">
      <w:pPr>
        <w:pStyle w:val="NoSpacing"/>
      </w:pPr>
      <w:r w:rsidRPr="00FF27A4">
        <w:t xml:space="preserve">Either there was a probate matter </w:t>
      </w:r>
      <w:r w:rsidRPr="00FF27A4">
        <w:rPr>
          <w:highlight w:val="yellow"/>
        </w:rPr>
        <w:t>pending</w:t>
      </w:r>
      <w:r w:rsidRPr="00FF27A4">
        <w:t xml:space="preserve"> in the probate court on April 9, 2013 when Carl’s petition was filed in the probate court or there was nothing for these claims to be filed as ancillary to.  </w:t>
      </w:r>
    </w:p>
    <w:p w:rsidR="00EE232F" w:rsidRPr="00FF27A4" w:rsidRDefault="00EE232F" w:rsidP="00EE232F">
      <w:pPr>
        <w:pStyle w:val="NoSpacing"/>
      </w:pPr>
      <w:r w:rsidRPr="00FF27A4">
        <w:t xml:space="preserve">Either Carl had individual standing or he did not. Carl’s resignation left the “estate” without a representative and either Drina Brunsting has a power of attorney for Carl and has standing to act as attorney in fact for Carl individually or she does not. </w:t>
      </w:r>
    </w:p>
    <w:p w:rsidR="00EE232F" w:rsidRPr="00FF27A4" w:rsidRDefault="00EE232F" w:rsidP="00EE232F">
      <w:pPr>
        <w:pStyle w:val="NoSpacing"/>
      </w:pPr>
      <w:r w:rsidRPr="00FF27A4">
        <w:t xml:space="preserve">Either there was a valid remand or transfer or there was not. Candace wanted does not provide the lawful authority to issue a void order. The record is silent on this issue. </w:t>
      </w:r>
    </w:p>
    <w:p w:rsidR="00EE232F" w:rsidRPr="00FF27A4" w:rsidRDefault="00EE232F" w:rsidP="00EE232F">
      <w:pPr>
        <w:pStyle w:val="NoSpacing"/>
      </w:pPr>
      <w:r w:rsidRPr="00FF27A4">
        <w:t>Carl’s resignation left the “estate” without a representative.</w:t>
      </w:r>
    </w:p>
    <w:p w:rsidR="00EE232F" w:rsidRPr="00FF27A4" w:rsidRDefault="00EE232F" w:rsidP="00EE232F">
      <w:pPr>
        <w:pStyle w:val="NoSpacing"/>
      </w:pPr>
    </w:p>
    <w:p w:rsidR="00EE232F" w:rsidRPr="00FF27A4" w:rsidRDefault="00EE232F" w:rsidP="00EE232F">
      <w:pPr>
        <w:pStyle w:val="NoSpacing"/>
      </w:pPr>
      <w:r w:rsidRPr="00FF27A4">
        <w:t>Either the Defendant Appellees Original counter claims were compulsory counter claims waived under rule 97(a) TRCP or they were not</w:t>
      </w:r>
    </w:p>
    <w:p w:rsidR="00EE232F" w:rsidRPr="00FF27A4" w:rsidRDefault="00EE232F" w:rsidP="00EE232F">
      <w:pPr>
        <w:pStyle w:val="NoSpacing"/>
      </w:pPr>
      <w:r w:rsidRPr="00FF27A4">
        <w:t xml:space="preserve">Either the Defendant Appellees Original counter claims affirmatively plead </w:t>
      </w:r>
      <w:r w:rsidRPr="00FF27A4">
        <w:lastRenderedPageBreak/>
        <w:t>statutory probate court jurisdiction or they did not.</w:t>
      </w:r>
    </w:p>
    <w:p w:rsidR="00EE232F" w:rsidRPr="00FF27A4" w:rsidRDefault="00EE232F" w:rsidP="00EE232F">
      <w:pPr>
        <w:pStyle w:val="NoSpacing"/>
      </w:pPr>
      <w:r w:rsidRPr="00FF27A4">
        <w:t>Either Curtis federal lawsuit was lawfully remanded to the probate court or it was not. It was not and “Candace wanted” does not provide a court with authority to act contrary to law.</w:t>
      </w:r>
    </w:p>
    <w:p w:rsidR="00EE232F" w:rsidRPr="00FF27A4" w:rsidRDefault="00EE232F" w:rsidP="00EE232F">
      <w:pPr>
        <w:pStyle w:val="NoSpacing"/>
      </w:pPr>
      <w:r w:rsidRPr="00FF27A4">
        <w:t>Either there is a controversy between appellee Plaintiff and appellee Defendants or there is not.</w:t>
      </w:r>
    </w:p>
    <w:p w:rsidR="00EE232F" w:rsidRPr="00FF27A4" w:rsidRDefault="00EE232F" w:rsidP="00EE232F">
      <w:pPr>
        <w:pStyle w:val="NoSpacing"/>
      </w:pPr>
      <w:r w:rsidRPr="00FF27A4">
        <w:t>Either the Original counter claims filed by Defendant appellees on November 9, 2019 were timely or they were waived.</w:t>
      </w:r>
    </w:p>
    <w:p w:rsidR="00EE232F" w:rsidRPr="00FF27A4" w:rsidRDefault="00EE232F" w:rsidP="00EE232F">
      <w:pPr>
        <w:pStyle w:val="NoSpacing"/>
      </w:pPr>
      <w:r w:rsidRPr="00FF27A4">
        <w:t xml:space="preserve">Either the Original counter claims filed by Defendant appellees affirmatively stated the jurisdiction of the statutory probate court to hear the matter or it did not. </w:t>
      </w:r>
    </w:p>
    <w:p w:rsidR="00EE232F" w:rsidRPr="00FF27A4" w:rsidRDefault="00EE232F" w:rsidP="00EE232F">
      <w:pPr>
        <w:pStyle w:val="NoSpacing"/>
      </w:pPr>
    </w:p>
    <w:p w:rsidR="00EE232F" w:rsidRPr="00FF27A4" w:rsidRDefault="00EE232F" w:rsidP="00EE232F"/>
    <w:p w:rsidR="00EE232F" w:rsidRPr="00FF27A4" w:rsidRDefault="00EE232F" w:rsidP="00EE232F">
      <w:r w:rsidRPr="00FF27A4">
        <w:t xml:space="preserve">LR </w:t>
      </w:r>
      <w:r w:rsidRPr="00FF27A4">
        <w:rPr>
          <w:color w:val="373737"/>
        </w:rPr>
        <w:t>2</w:t>
      </w:r>
      <w:r w:rsidRPr="00FF27A4">
        <w:rPr>
          <w:color w:val="858585"/>
        </w:rPr>
        <w:t>.</w:t>
      </w:r>
      <w:r w:rsidRPr="00FF27A4">
        <w:rPr>
          <w:color w:val="373737"/>
        </w:rPr>
        <w:t xml:space="preserve">5 Core Matters that </w:t>
      </w:r>
      <w:r w:rsidRPr="00FF27A4">
        <w:t xml:space="preserve">belong </w:t>
      </w:r>
      <w:r w:rsidRPr="00FF27A4">
        <w:rPr>
          <w:color w:val="373737"/>
        </w:rPr>
        <w:t xml:space="preserve">in </w:t>
      </w:r>
      <w:r w:rsidRPr="00FF27A4">
        <w:t>the principal file</w:t>
      </w:r>
      <w:r w:rsidRPr="00FF27A4">
        <w:rPr>
          <w:color w:val="585858"/>
        </w:rPr>
        <w:t xml:space="preserve">. </w:t>
      </w:r>
      <w:r w:rsidRPr="00FF27A4">
        <w:rPr>
          <w:color w:val="373737"/>
        </w:rPr>
        <w:t xml:space="preserve">Those </w:t>
      </w:r>
      <w:r w:rsidRPr="00FF27A4">
        <w:t xml:space="preserve">matters that </w:t>
      </w:r>
      <w:r w:rsidRPr="00FF27A4">
        <w:rPr>
          <w:color w:val="373737"/>
        </w:rPr>
        <w:t xml:space="preserve">are </w:t>
      </w:r>
      <w:r w:rsidRPr="00FF27A4">
        <w:t xml:space="preserve">principally </w:t>
      </w:r>
      <w:r w:rsidRPr="00FF27A4">
        <w:rPr>
          <w:color w:val="373737"/>
        </w:rPr>
        <w:t xml:space="preserve">concerned </w:t>
      </w:r>
      <w:r w:rsidRPr="00FF27A4">
        <w:t xml:space="preserve">with </w:t>
      </w:r>
      <w:r w:rsidRPr="00FF27A4">
        <w:rPr>
          <w:color w:val="373737"/>
        </w:rPr>
        <w:t xml:space="preserve">the administration of </w:t>
      </w:r>
      <w:r w:rsidRPr="00FF27A4">
        <w:t xml:space="preserve">the </w:t>
      </w:r>
      <w:r w:rsidRPr="00FF27A4">
        <w:rPr>
          <w:color w:val="373737"/>
        </w:rPr>
        <w:t xml:space="preserve">estate are "core </w:t>
      </w:r>
      <w:r w:rsidRPr="00FF27A4">
        <w:t xml:space="preserve">matters" </w:t>
      </w:r>
      <w:r w:rsidRPr="00FF27A4">
        <w:rPr>
          <w:color w:val="373737"/>
        </w:rPr>
        <w:t xml:space="preserve">and </w:t>
      </w:r>
      <w:r w:rsidRPr="00FF27A4">
        <w:t xml:space="preserve">should </w:t>
      </w:r>
      <w:r w:rsidRPr="00FF27A4">
        <w:rPr>
          <w:color w:val="373737"/>
        </w:rPr>
        <w:t xml:space="preserve">be </w:t>
      </w:r>
      <w:r w:rsidRPr="00FF27A4">
        <w:t>filed under the main cause number.</w:t>
      </w:r>
    </w:p>
    <w:p w:rsidR="00EE232F" w:rsidRPr="00FF27A4" w:rsidRDefault="00EE232F" w:rsidP="00EE232F">
      <w:pPr>
        <w:rPr>
          <w:color w:val="636363"/>
        </w:rPr>
      </w:pPr>
      <w:r w:rsidRPr="00FF27A4">
        <w:rPr>
          <w:color w:val="333333"/>
        </w:rPr>
        <w:t>LR 2</w:t>
      </w:r>
      <w:r w:rsidRPr="00FF27A4">
        <w:rPr>
          <w:color w:val="636363"/>
        </w:rPr>
        <w:t>.</w:t>
      </w:r>
      <w:r w:rsidRPr="00FF27A4">
        <w:rPr>
          <w:color w:val="333333"/>
        </w:rPr>
        <w:t xml:space="preserve">6 Ancillary </w:t>
      </w:r>
      <w:r w:rsidRPr="00FF27A4">
        <w:t xml:space="preserve">Matters that belong in a different file with </w:t>
      </w:r>
      <w:r w:rsidRPr="00FF27A4">
        <w:rPr>
          <w:color w:val="333333"/>
        </w:rPr>
        <w:t xml:space="preserve">on </w:t>
      </w:r>
      <w:r w:rsidRPr="00FF27A4">
        <w:t xml:space="preserve">ancillary </w:t>
      </w:r>
      <w:r w:rsidRPr="00FF27A4">
        <w:rPr>
          <w:color w:val="333333"/>
        </w:rPr>
        <w:t xml:space="preserve">or related case </w:t>
      </w:r>
      <w:r w:rsidRPr="00FF27A4">
        <w:t>design</w:t>
      </w:r>
      <w:r w:rsidRPr="00FF27A4">
        <w:rPr>
          <w:color w:val="4B4B4B"/>
        </w:rPr>
        <w:t>a</w:t>
      </w:r>
      <w:r w:rsidRPr="00FF27A4">
        <w:t>tion</w:t>
      </w:r>
      <w:r w:rsidRPr="00FF27A4">
        <w:rPr>
          <w:color w:val="636363"/>
        </w:rPr>
        <w:t xml:space="preserve">. </w:t>
      </w:r>
      <w:r w:rsidRPr="00FF27A4">
        <w:rPr>
          <w:color w:val="333333"/>
        </w:rPr>
        <w:t xml:space="preserve">Those </w:t>
      </w:r>
      <w:r w:rsidRPr="00FF27A4">
        <w:t xml:space="preserve">contested matters that </w:t>
      </w:r>
      <w:r w:rsidRPr="00FF27A4">
        <w:rPr>
          <w:color w:val="333333"/>
        </w:rPr>
        <w:t xml:space="preserve">bear </w:t>
      </w:r>
      <w:r w:rsidRPr="00FF27A4">
        <w:t xml:space="preserve">no direct relationship to the </w:t>
      </w:r>
      <w:r w:rsidRPr="00FF27A4">
        <w:rPr>
          <w:color w:val="333333"/>
        </w:rPr>
        <w:t xml:space="preserve">administration of </w:t>
      </w:r>
      <w:r w:rsidRPr="00FF27A4">
        <w:t xml:space="preserve">the </w:t>
      </w:r>
      <w:r w:rsidRPr="00FF27A4">
        <w:rPr>
          <w:color w:val="333333"/>
        </w:rPr>
        <w:t xml:space="preserve">estate and </w:t>
      </w:r>
      <w:r w:rsidRPr="00FF27A4">
        <w:t xml:space="preserve">that would have the possibility of becoming an </w:t>
      </w:r>
      <w:r w:rsidRPr="00FF27A4">
        <w:rPr>
          <w:color w:val="333333"/>
        </w:rPr>
        <w:t xml:space="preserve">independently-tried </w:t>
      </w:r>
      <w:r w:rsidRPr="00FF27A4">
        <w:t xml:space="preserve">lawsuit </w:t>
      </w:r>
      <w:r w:rsidRPr="00FF27A4">
        <w:rPr>
          <w:color w:val="333333"/>
        </w:rPr>
        <w:t xml:space="preserve">(each </w:t>
      </w:r>
      <w:r w:rsidRPr="00FF27A4">
        <w:t xml:space="preserve">potentially </w:t>
      </w:r>
      <w:r w:rsidRPr="00FF27A4">
        <w:rPr>
          <w:color w:val="333333"/>
        </w:rPr>
        <w:t xml:space="preserve">with its </w:t>
      </w:r>
      <w:r w:rsidRPr="00FF27A4">
        <w:t xml:space="preserve">own docket </w:t>
      </w:r>
      <w:r w:rsidRPr="00FF27A4">
        <w:rPr>
          <w:color w:val="333333"/>
        </w:rPr>
        <w:t xml:space="preserve">control </w:t>
      </w:r>
      <w:r w:rsidRPr="00FF27A4">
        <w:t xml:space="preserve">and discovery schedules, </w:t>
      </w:r>
      <w:r w:rsidRPr="00FF27A4">
        <w:rPr>
          <w:color w:val="333333"/>
        </w:rPr>
        <w:t>etc.)</w:t>
      </w:r>
      <w:r w:rsidRPr="00FF27A4">
        <w:rPr>
          <w:color w:val="636363"/>
        </w:rPr>
        <w:t>:</w:t>
      </w:r>
    </w:p>
    <w:p w:rsidR="00EE232F" w:rsidRPr="00FF27A4" w:rsidRDefault="00EE232F" w:rsidP="00EE232F">
      <w:r w:rsidRPr="00FF27A4">
        <w:rPr>
          <w:color w:val="333333"/>
        </w:rPr>
        <w:t>2</w:t>
      </w:r>
      <w:r w:rsidRPr="00FF27A4">
        <w:rPr>
          <w:color w:val="636363"/>
        </w:rPr>
        <w:t>.</w:t>
      </w:r>
      <w:r w:rsidRPr="00FF27A4">
        <w:rPr>
          <w:color w:val="333333"/>
        </w:rPr>
        <w:t>6</w:t>
      </w:r>
      <w:r w:rsidRPr="00FF27A4">
        <w:rPr>
          <w:color w:val="636363"/>
        </w:rPr>
        <w:t>.</w:t>
      </w:r>
      <w:r w:rsidRPr="00FF27A4">
        <w:t xml:space="preserve">4 </w:t>
      </w:r>
      <w:r w:rsidRPr="00FF27A4">
        <w:rPr>
          <w:color w:val="333333"/>
        </w:rPr>
        <w:t xml:space="preserve">Testamentary </w:t>
      </w:r>
      <w:r w:rsidRPr="00FF27A4">
        <w:t xml:space="preserve">Trust Actions </w:t>
      </w:r>
      <w:r w:rsidRPr="00FF27A4">
        <w:rPr>
          <w:color w:val="333333"/>
        </w:rPr>
        <w:t xml:space="preserve">(other </w:t>
      </w:r>
      <w:r w:rsidRPr="00FF27A4">
        <w:t>than construction issues);</w:t>
      </w:r>
    </w:p>
    <w:p w:rsidR="00EE232F" w:rsidRPr="00FF27A4" w:rsidRDefault="00EE232F" w:rsidP="00EE232F">
      <w:pPr>
        <w:rPr>
          <w:color w:val="333333"/>
        </w:rPr>
      </w:pPr>
      <w:r w:rsidRPr="00FF27A4">
        <w:rPr>
          <w:color w:val="333333"/>
        </w:rPr>
        <w:t xml:space="preserve">2.6.5 </w:t>
      </w:r>
      <w:proofErr w:type="spellStart"/>
      <w:proofErr w:type="gramStart"/>
      <w:r w:rsidRPr="00FF27A4">
        <w:t>lntervivos</w:t>
      </w:r>
      <w:proofErr w:type="spellEnd"/>
      <w:proofErr w:type="gramEnd"/>
      <w:r w:rsidRPr="00FF27A4">
        <w:t xml:space="preserve"> Trust Actions (settlor is decedent in probate </w:t>
      </w:r>
      <w:r w:rsidRPr="00FF27A4">
        <w:rPr>
          <w:b/>
        </w:rPr>
        <w:t>pending</w:t>
      </w:r>
      <w:r w:rsidRPr="00FF27A4">
        <w:t xml:space="preserve"> in subject </w:t>
      </w:r>
      <w:r w:rsidRPr="00FF27A4">
        <w:rPr>
          <w:color w:val="333333"/>
        </w:rPr>
        <w:t>court);</w:t>
      </w:r>
    </w:p>
    <w:p w:rsidR="00EE232F" w:rsidRPr="00FF27A4" w:rsidRDefault="00EE232F" w:rsidP="00EE232F">
      <w:r w:rsidRPr="00FF27A4">
        <w:rPr>
          <w:color w:val="333333"/>
        </w:rPr>
        <w:lastRenderedPageBreak/>
        <w:t>2</w:t>
      </w:r>
      <w:r w:rsidRPr="00FF27A4">
        <w:rPr>
          <w:color w:val="636363"/>
        </w:rPr>
        <w:t>.</w:t>
      </w:r>
      <w:r w:rsidRPr="00FF27A4">
        <w:rPr>
          <w:color w:val="333333"/>
        </w:rPr>
        <w:t>6</w:t>
      </w:r>
      <w:r w:rsidRPr="00FF27A4">
        <w:rPr>
          <w:color w:val="636363"/>
        </w:rPr>
        <w:t>.</w:t>
      </w:r>
      <w:r w:rsidRPr="00FF27A4">
        <w:t xml:space="preserve">6 Declaratory judgments (after the will is </w:t>
      </w:r>
      <w:r w:rsidRPr="00FF27A4">
        <w:rPr>
          <w:color w:val="333333"/>
        </w:rPr>
        <w:t xml:space="preserve">admitted </w:t>
      </w:r>
      <w:r w:rsidRPr="00FF27A4">
        <w:t>to probate);</w:t>
      </w:r>
    </w:p>
    <w:p w:rsidR="00EE232F" w:rsidRPr="00FF27A4" w:rsidRDefault="00EE232F" w:rsidP="00EE232F"/>
    <w:p w:rsidR="00EE232F" w:rsidRDefault="00EE232F" w:rsidP="00F71D4E">
      <w:pPr>
        <w:ind w:firstLine="0"/>
      </w:pPr>
      <w:r w:rsidRPr="00FF27A4">
        <w:t>ALL OF THE ASSETS REMAINING IN “THE TRUST” ARE IN ELMER BRUNSTINGS SHARE.</w:t>
      </w:r>
      <w:r>
        <w:t xml:space="preserve"> </w:t>
      </w:r>
    </w:p>
    <w:p w:rsidR="00F71D4E" w:rsidRDefault="00F71D4E" w:rsidP="00251F53">
      <w:pPr>
        <w:pStyle w:val="NoSpacing"/>
        <w:spacing w:before="0" w:after="0"/>
      </w:pPr>
      <w:bookmarkStart w:id="0" w:name="_GoBack"/>
      <w:r>
        <w:t>ID</w:t>
      </w:r>
      <w:r>
        <w:tab/>
      </w:r>
      <w:r>
        <w:tab/>
        <w:t>Page</w:t>
      </w:r>
    </w:p>
    <w:p w:rsidR="00F71D4E" w:rsidRDefault="00F71D4E" w:rsidP="00251F53">
      <w:pPr>
        <w:pStyle w:val="NoSpacing"/>
        <w:spacing w:before="0" w:after="0"/>
      </w:pPr>
      <w:r>
        <w:t>Tab 1</w:t>
      </w:r>
      <w:r>
        <w:tab/>
      </w:r>
      <w:r>
        <w:tab/>
      </w:r>
      <w:r>
        <w:t>19</w:t>
      </w:r>
    </w:p>
    <w:p w:rsidR="00F71D4E" w:rsidRDefault="00F71D4E" w:rsidP="00251F53">
      <w:pPr>
        <w:pStyle w:val="NoSpacing"/>
        <w:spacing w:before="0" w:after="0"/>
      </w:pPr>
      <w:r>
        <w:t>Tab 3</w:t>
      </w:r>
      <w:r>
        <w:tab/>
      </w:r>
      <w:r>
        <w:tab/>
        <w:t>26</w:t>
      </w:r>
    </w:p>
    <w:p w:rsidR="00F71D4E" w:rsidRDefault="00F71D4E" w:rsidP="00251F53">
      <w:pPr>
        <w:pStyle w:val="NoSpacing"/>
        <w:spacing w:before="0" w:after="0"/>
      </w:pPr>
      <w:r>
        <w:t>Tab 6</w:t>
      </w:r>
      <w:r>
        <w:tab/>
      </w:r>
      <w:r>
        <w:tab/>
        <w:t>26</w:t>
      </w:r>
    </w:p>
    <w:p w:rsidR="00F71D4E" w:rsidRPr="00EE3637" w:rsidRDefault="00F71D4E" w:rsidP="00251F53">
      <w:pPr>
        <w:pStyle w:val="NoSpacing"/>
        <w:spacing w:before="0" w:after="0"/>
      </w:pPr>
      <w:r>
        <w:t>Tab 7</w:t>
      </w:r>
      <w:r>
        <w:tab/>
      </w:r>
      <w:r>
        <w:tab/>
        <w:t>26</w:t>
      </w:r>
    </w:p>
    <w:p w:rsidR="00F71D4E" w:rsidRDefault="00F71D4E" w:rsidP="00251F53">
      <w:pPr>
        <w:pStyle w:val="NoSpacing"/>
        <w:spacing w:before="0" w:after="0"/>
      </w:pPr>
      <w:r>
        <w:t>Tab 10</w:t>
      </w:r>
      <w:r>
        <w:tab/>
      </w:r>
      <w:r>
        <w:tab/>
      </w:r>
      <w:r>
        <w:t>26</w:t>
      </w:r>
    </w:p>
    <w:p w:rsidR="00F71D4E" w:rsidRDefault="00F71D4E" w:rsidP="00251F53">
      <w:pPr>
        <w:pStyle w:val="NoSpacing"/>
        <w:spacing w:before="0" w:after="0"/>
      </w:pPr>
      <w:r>
        <w:t>Tab 11</w:t>
      </w:r>
      <w:r>
        <w:tab/>
      </w:r>
      <w:r>
        <w:tab/>
      </w:r>
      <w:r>
        <w:t>3</w:t>
      </w:r>
    </w:p>
    <w:p w:rsidR="00F71D4E" w:rsidRDefault="00F71D4E" w:rsidP="00251F53">
      <w:pPr>
        <w:pStyle w:val="NoSpacing"/>
        <w:spacing w:before="0" w:after="0"/>
      </w:pPr>
      <w:r>
        <w:t>Tab 12</w:t>
      </w:r>
      <w:r>
        <w:tab/>
      </w:r>
      <w:r>
        <w:tab/>
      </w:r>
      <w:r>
        <w:t>3</w:t>
      </w:r>
    </w:p>
    <w:p w:rsidR="00F71D4E" w:rsidRDefault="00F71D4E" w:rsidP="00251F53">
      <w:pPr>
        <w:pStyle w:val="NoSpacing"/>
        <w:spacing w:before="0" w:after="0"/>
      </w:pPr>
      <w:r>
        <w:t>Tab 13</w:t>
      </w:r>
      <w:r>
        <w:tab/>
      </w:r>
      <w:r>
        <w:tab/>
      </w:r>
      <w:r>
        <w:t>22</w:t>
      </w:r>
    </w:p>
    <w:p w:rsidR="00F71D4E" w:rsidRDefault="00F71D4E" w:rsidP="00251F53">
      <w:pPr>
        <w:pStyle w:val="NoSpacing"/>
        <w:spacing w:before="0" w:after="0"/>
      </w:pPr>
      <w:r>
        <w:t>Tab 14</w:t>
      </w:r>
      <w:r>
        <w:tab/>
      </w:r>
      <w:r>
        <w:tab/>
      </w:r>
      <w:r>
        <w:t>3</w:t>
      </w:r>
    </w:p>
    <w:p w:rsidR="00F71D4E" w:rsidRDefault="00F71D4E" w:rsidP="00251F53">
      <w:pPr>
        <w:pStyle w:val="NoSpacing"/>
        <w:spacing w:before="0" w:after="0"/>
      </w:pPr>
      <w:r>
        <w:t>Tab 18</w:t>
      </w:r>
      <w:r>
        <w:tab/>
      </w:r>
      <w:r>
        <w:tab/>
      </w:r>
      <w:r>
        <w:t>3</w:t>
      </w:r>
    </w:p>
    <w:p w:rsidR="00F71D4E" w:rsidRDefault="00F71D4E" w:rsidP="00251F53">
      <w:pPr>
        <w:pStyle w:val="NoSpacing"/>
        <w:spacing w:before="0" w:after="0"/>
      </w:pPr>
      <w:r>
        <w:t>Tab 20</w:t>
      </w:r>
      <w:r>
        <w:tab/>
      </w:r>
      <w:r>
        <w:tab/>
      </w:r>
      <w:r>
        <w:t>3</w:t>
      </w:r>
    </w:p>
    <w:p w:rsidR="00F71D4E" w:rsidRDefault="00F71D4E" w:rsidP="00251F53">
      <w:pPr>
        <w:pStyle w:val="NoSpacing"/>
        <w:spacing w:before="0" w:after="0"/>
      </w:pPr>
      <w:r>
        <w:t>Tab 23</w:t>
      </w:r>
      <w:r>
        <w:tab/>
      </w:r>
      <w:r>
        <w:tab/>
      </w:r>
      <w:r>
        <w:t>18</w:t>
      </w:r>
    </w:p>
    <w:p w:rsidR="00F71D4E" w:rsidRDefault="00F71D4E" w:rsidP="00251F53">
      <w:pPr>
        <w:pStyle w:val="NoSpacing"/>
        <w:spacing w:before="0" w:after="0"/>
      </w:pPr>
      <w:r>
        <w:t>Tab 25</w:t>
      </w:r>
      <w:r>
        <w:tab/>
      </w:r>
      <w:r>
        <w:tab/>
      </w:r>
      <w:r>
        <w:t>19</w:t>
      </w:r>
    </w:p>
    <w:p w:rsidR="00F71D4E" w:rsidRDefault="00F71D4E" w:rsidP="00251F53">
      <w:pPr>
        <w:pStyle w:val="NoSpacing"/>
        <w:spacing w:before="0" w:after="0"/>
      </w:pPr>
      <w:r>
        <w:t>Tab 26</w:t>
      </w:r>
      <w:r>
        <w:tab/>
      </w:r>
      <w:r>
        <w:tab/>
      </w:r>
      <w:r>
        <w:t>26</w:t>
      </w:r>
    </w:p>
    <w:p w:rsidR="00F71D4E" w:rsidRDefault="00F71D4E" w:rsidP="00251F53">
      <w:pPr>
        <w:pStyle w:val="NoSpacing"/>
        <w:spacing w:before="0" w:after="0"/>
      </w:pPr>
      <w:r>
        <w:t>Tab 27</w:t>
      </w:r>
      <w:r>
        <w:tab/>
      </w:r>
      <w:r>
        <w:tab/>
      </w:r>
      <w:r>
        <w:t>24</w:t>
      </w:r>
      <w:bookmarkEnd w:id="0"/>
    </w:p>
    <w:sectPr w:rsidR="00F71D4E" w:rsidSect="00040920">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182" w:rsidRDefault="009A7182" w:rsidP="00496CAB">
      <w:pPr>
        <w:spacing w:before="0" w:after="0" w:line="240" w:lineRule="auto"/>
      </w:pPr>
      <w:r>
        <w:separator/>
      </w:r>
    </w:p>
  </w:endnote>
  <w:endnote w:type="continuationSeparator" w:id="0">
    <w:p w:rsidR="009A7182" w:rsidRDefault="009A7182" w:rsidP="00496C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182" w:rsidRDefault="009A7182" w:rsidP="00496CAB">
      <w:pPr>
        <w:spacing w:before="0" w:after="0" w:line="240" w:lineRule="auto"/>
      </w:pPr>
      <w:r>
        <w:separator/>
      </w:r>
    </w:p>
  </w:footnote>
  <w:footnote w:type="continuationSeparator" w:id="0">
    <w:p w:rsidR="009A7182" w:rsidRDefault="009A7182" w:rsidP="00496CAB">
      <w:pPr>
        <w:spacing w:before="0" w:after="0" w:line="240" w:lineRule="auto"/>
      </w:pPr>
      <w:r>
        <w:continuationSeparator/>
      </w:r>
    </w:p>
  </w:footnote>
  <w:footnote w:id="1">
    <w:p w:rsidR="00F93382" w:rsidRDefault="00F93382" w:rsidP="00F93382">
      <w:pPr>
        <w:pStyle w:val="Footnote"/>
      </w:pPr>
      <w:r>
        <w:rPr>
          <w:rStyle w:val="FootnoteReference"/>
        </w:rPr>
        <w:footnoteRef/>
      </w:r>
      <w:r>
        <w:t xml:space="preserve"> </w:t>
      </w:r>
      <w:r w:rsidRPr="001B2F51">
        <w:t>[FDCA No. 10-22-00513-CV- Tab 1</w:t>
      </w:r>
      <w:r>
        <w:t>5</w:t>
      </w:r>
      <w:r w:rsidRPr="001B2F51">
        <w:t xml:space="preserve"> p.25</w:t>
      </w:r>
      <w:r>
        <w:t>8; Tab 16 p.269; Tab 19 p.300; Tab 21 p.306-307</w:t>
      </w:r>
      <w:r w:rsidRPr="001B2F51">
        <w:t>]</w:t>
      </w:r>
    </w:p>
  </w:footnote>
  <w:footnote w:id="2">
    <w:p w:rsidR="00383257" w:rsidRDefault="00383257" w:rsidP="00A823A9">
      <w:pPr>
        <w:pStyle w:val="Footnote"/>
      </w:pPr>
      <w:r>
        <w:rPr>
          <w:rStyle w:val="FootnoteReference"/>
        </w:rPr>
        <w:footnoteRef/>
      </w:r>
      <w:r>
        <w:t xml:space="preserve"> Comment: Please be advised the following documents listed in the designation will not be reflected in the clerks record because; “3</w:t>
      </w:r>
      <w:r w:rsidRPr="000E1D98">
        <w:rPr>
          <w:i/>
        </w:rPr>
        <w:t>. b. Resignation of Independent Executor was filed in cause #412,249</w:t>
      </w:r>
      <w:r>
        <w:t>”</w:t>
      </w:r>
    </w:p>
  </w:footnote>
  <w:footnote w:id="3">
    <w:p w:rsidR="00247C2E" w:rsidRDefault="00247C2E" w:rsidP="00247C2E">
      <w:pPr>
        <w:pStyle w:val="FootnoteText"/>
        <w:spacing w:before="0" w:after="0" w:line="240" w:lineRule="auto"/>
        <w:jc w:val="left"/>
      </w:pPr>
      <w:r>
        <w:rPr>
          <w:rStyle w:val="FootnoteReference"/>
        </w:rPr>
        <w:footnoteRef/>
      </w:r>
      <w:r>
        <w:t xml:space="preserve"> </w:t>
      </w:r>
      <w:r w:rsidRPr="00255180">
        <w:rPr>
          <w:rStyle w:val="FootnoteChar"/>
          <w:highlight w:val="yellow"/>
        </w:rPr>
        <w:t xml:space="preserve">[Exhibit </w:t>
      </w:r>
      <w:r>
        <w:rPr>
          <w:rStyle w:val="FootnoteChar"/>
          <w:highlight w:val="yellow"/>
        </w:rPr>
        <w:t>1 attached</w:t>
      </w:r>
      <w:r w:rsidRPr="00255180">
        <w:rPr>
          <w:rStyle w:val="FootnoteChar"/>
          <w:highlight w:val="yellow"/>
        </w:rPr>
        <w:t>]</w:t>
      </w:r>
      <w:r w:rsidRPr="00255180">
        <w:rPr>
          <w:rStyle w:val="FootnoteChar"/>
        </w:rPr>
        <w:t xml:space="preserve"> Rule 60 hearing transcript p.33 ln. 15-17. Appellant asks the court to take judicial notice of this proceeding and incorporates by reference all statement</w:t>
      </w:r>
      <w:r>
        <w:rPr>
          <w:rStyle w:val="FootnoteChar"/>
        </w:rPr>
        <w:t>s</w:t>
      </w:r>
      <w:r w:rsidRPr="00255180">
        <w:rPr>
          <w:rStyle w:val="FootnoteChar"/>
        </w:rPr>
        <w:t xml:space="preserve"> contained in Appellants opening brief as if fully set forth herein.</w:t>
      </w:r>
    </w:p>
  </w:footnote>
  <w:footnote w:id="4">
    <w:p w:rsidR="00EB76B3" w:rsidRDefault="00EB76B3" w:rsidP="00A823A9">
      <w:pPr>
        <w:pStyle w:val="Footnote"/>
      </w:pPr>
      <w:r>
        <w:rPr>
          <w:rStyle w:val="FootnoteReference"/>
        </w:rPr>
        <w:footnoteRef/>
      </w:r>
      <w:r>
        <w:t xml:space="preserve"> [</w:t>
      </w:r>
      <w:r>
        <w:rPr>
          <w:highlight w:val="yellow"/>
        </w:rPr>
        <w:t xml:space="preserve">Exhibit </w:t>
      </w:r>
      <w:r>
        <w:t>2</w:t>
      </w:r>
      <w:r w:rsidRPr="00E561D1">
        <w:t xml:space="preserve"> Case 4:22-cv-01129 Document 2-12 Filed on 04/08/22 in TXSD Page 2 of 56</w:t>
      </w:r>
    </w:p>
  </w:footnote>
  <w:footnote w:id="5">
    <w:p w:rsidR="00EB76B3" w:rsidRPr="00EA5759" w:rsidRDefault="00EB76B3" w:rsidP="00A823A9">
      <w:pPr>
        <w:pStyle w:val="Footnote"/>
        <w:rPr>
          <w:rStyle w:val="FootnoteChar"/>
        </w:rPr>
      </w:pPr>
      <w:r>
        <w:rPr>
          <w:rStyle w:val="FootnoteReference"/>
        </w:rPr>
        <w:footnoteRef/>
      </w:r>
      <w:r>
        <w:t xml:space="preserve"> [</w:t>
      </w:r>
      <w:r w:rsidRPr="00CD19D0">
        <w:rPr>
          <w:highlight w:val="yellow"/>
        </w:rPr>
        <w:t xml:space="preserve">Exhibit </w:t>
      </w:r>
      <w:r>
        <w:t>2</w:t>
      </w:r>
      <w:r w:rsidRPr="00E561D1">
        <w:t xml:space="preserve"> </w:t>
      </w:r>
      <w:r w:rsidRPr="00CD19D0">
        <w:rPr>
          <w:rStyle w:val="FootnoteChar"/>
          <w:highlight w:val="yellow"/>
        </w:rPr>
        <w:t>Case 4:22-cv-01129 Document 2-12</w:t>
      </w:r>
      <w:r w:rsidRPr="00EA5759">
        <w:rPr>
          <w:rStyle w:val="FootnoteChar"/>
        </w:rPr>
        <w:t xml:space="preserve"> Filed on 04/08/22 in TXSD Page 10 of 56</w:t>
      </w:r>
    </w:p>
  </w:footnote>
  <w:footnote w:id="6">
    <w:p w:rsidR="00EB76B3" w:rsidRPr="00A823A9" w:rsidRDefault="00EB76B3" w:rsidP="00A823A9">
      <w:pPr>
        <w:pStyle w:val="Footnote"/>
      </w:pPr>
      <w:r w:rsidRPr="00A823A9">
        <w:rPr>
          <w:rStyle w:val="FootnoteReference"/>
          <w:vertAlign w:val="baseline"/>
        </w:rPr>
        <w:footnoteRef/>
      </w:r>
      <w:r w:rsidRPr="00A823A9">
        <w:t xml:space="preserve"> </w:t>
      </w:r>
      <w:r w:rsidRPr="00A823A9">
        <w:rPr>
          <w:highlight w:val="yellow"/>
        </w:rPr>
        <w:t>[</w:t>
      </w:r>
      <w:r w:rsidRPr="00A823A9">
        <w:rPr>
          <w:rStyle w:val="FootnoteChar"/>
          <w:highlight w:val="yellow"/>
        </w:rPr>
        <w:t>FDCA No. 10-22-00513-CV- Tab</w:t>
      </w:r>
      <w:r w:rsidRPr="00A823A9">
        <w:rPr>
          <w:rStyle w:val="FootnoteChar"/>
        </w:rPr>
        <w:t xml:space="preserve"> 03: Injunction Hearing p.77 ln. 13-21</w:t>
      </w:r>
    </w:p>
  </w:footnote>
  <w:footnote w:id="7">
    <w:p w:rsidR="00D7451B" w:rsidRDefault="00D7451B" w:rsidP="00D7451B">
      <w:pPr>
        <w:pStyle w:val="Footnote"/>
      </w:pPr>
      <w:r>
        <w:rPr>
          <w:rStyle w:val="FootnoteReference"/>
        </w:rPr>
        <w:footnoteRef/>
      </w:r>
      <w:r>
        <w:t xml:space="preserve"> </w:t>
      </w:r>
      <w:r w:rsidRPr="001B2F51">
        <w:t>[FDCA No. 10-22-00513-CV-</w:t>
      </w:r>
      <w:r w:rsidRPr="00CB71AE">
        <w:rPr>
          <w:rStyle w:val="FootnoteChar"/>
        </w:rPr>
        <w:t>Tab 23: Drop Order in 412249 p.317</w:t>
      </w:r>
      <w:r>
        <w:rPr>
          <w:rStyle w:val="FootnoteChar"/>
        </w:rPr>
        <w:t xml:space="preserve"> and Local Rule 2.6.5 </w:t>
      </w:r>
    </w:p>
  </w:footnote>
  <w:footnote w:id="8">
    <w:p w:rsidR="00D7451B" w:rsidRDefault="00D7451B" w:rsidP="00D7451B">
      <w:pPr>
        <w:pStyle w:val="Footnote"/>
      </w:pPr>
      <w:r>
        <w:rPr>
          <w:rStyle w:val="FootnoteReference"/>
        </w:rPr>
        <w:footnoteRef/>
      </w:r>
      <w:r>
        <w:t xml:space="preserve"> </w:t>
      </w:r>
      <w:r w:rsidRPr="001B2F51">
        <w:t>[FDCA No. 10-22-00513-CV-</w:t>
      </w:r>
      <w:r w:rsidRPr="00CB71AE">
        <w:rPr>
          <w:rStyle w:val="FootnoteChar"/>
        </w:rPr>
        <w:t>Tab 16: Drop Order 412248 Estate of Elmer Brunsting p.269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364D93"/>
    <w:multiLevelType w:val="hybridMultilevel"/>
    <w:tmpl w:val="6EBEE5BE"/>
    <w:lvl w:ilvl="0" w:tplc="D7542F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9039C2"/>
    <w:multiLevelType w:val="hybridMultilevel"/>
    <w:tmpl w:val="4F84EA84"/>
    <w:lvl w:ilvl="0" w:tplc="3258CE64">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7"/>
  </w:num>
  <w:num w:numId="12">
    <w:abstractNumId w:val="4"/>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4"/>
  </w:num>
  <w:num w:numId="21">
    <w:abstractNumId w:val="2"/>
  </w:num>
  <w:num w:numId="22">
    <w:abstractNumId w:val="2"/>
  </w:num>
  <w:num w:numId="23">
    <w:abstractNumId w:val="2"/>
  </w:num>
  <w:num w:numId="24">
    <w:abstractNumId w:val="4"/>
  </w:num>
  <w:num w:numId="25">
    <w:abstractNumId w:val="2"/>
  </w:num>
  <w:num w:numId="26">
    <w:abstractNumId w:val="2"/>
  </w:num>
  <w:num w:numId="27">
    <w:abstractNumId w:val="2"/>
  </w:num>
  <w:num w:numId="28">
    <w:abstractNumId w:val="4"/>
  </w:num>
  <w:num w:numId="29">
    <w:abstractNumId w:val="2"/>
  </w:num>
  <w:num w:numId="30">
    <w:abstractNumId w:val="5"/>
  </w:num>
  <w:num w:numId="31">
    <w:abstractNumId w:val="5"/>
  </w:num>
  <w:num w:numId="32">
    <w:abstractNumId w:val="5"/>
  </w:num>
  <w:num w:numId="33">
    <w:abstractNumId w:val="4"/>
  </w:num>
  <w:num w:numId="34">
    <w:abstractNumId w:val="0"/>
  </w:num>
  <w:num w:numId="35">
    <w:abstractNumId w:val="0"/>
  </w:num>
  <w:num w:numId="36">
    <w:abstractNumId w:val="4"/>
  </w:num>
  <w:num w:numId="37">
    <w:abstractNumId w:val="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AB"/>
    <w:rsid w:val="00003545"/>
    <w:rsid w:val="0002109F"/>
    <w:rsid w:val="00040920"/>
    <w:rsid w:val="00091071"/>
    <w:rsid w:val="000A6B0E"/>
    <w:rsid w:val="000C64A9"/>
    <w:rsid w:val="000D0E94"/>
    <w:rsid w:val="000F738F"/>
    <w:rsid w:val="00124D37"/>
    <w:rsid w:val="00160FC6"/>
    <w:rsid w:val="001A2FCD"/>
    <w:rsid w:val="001A3F32"/>
    <w:rsid w:val="001D04DB"/>
    <w:rsid w:val="001D0B0A"/>
    <w:rsid w:val="001D6254"/>
    <w:rsid w:val="00222515"/>
    <w:rsid w:val="00223772"/>
    <w:rsid w:val="00237452"/>
    <w:rsid w:val="0024453E"/>
    <w:rsid w:val="00244AC1"/>
    <w:rsid w:val="00247C2E"/>
    <w:rsid w:val="00251F53"/>
    <w:rsid w:val="0028561D"/>
    <w:rsid w:val="002B0C9B"/>
    <w:rsid w:val="002C553A"/>
    <w:rsid w:val="002E6DC6"/>
    <w:rsid w:val="002F6C12"/>
    <w:rsid w:val="00304B3A"/>
    <w:rsid w:val="00336CDD"/>
    <w:rsid w:val="00357F30"/>
    <w:rsid w:val="00383257"/>
    <w:rsid w:val="003A53DE"/>
    <w:rsid w:val="003A6462"/>
    <w:rsid w:val="003F4B40"/>
    <w:rsid w:val="00424FE8"/>
    <w:rsid w:val="0044111B"/>
    <w:rsid w:val="00496CAB"/>
    <w:rsid w:val="005157AC"/>
    <w:rsid w:val="0055091F"/>
    <w:rsid w:val="00586396"/>
    <w:rsid w:val="005B4D26"/>
    <w:rsid w:val="005C53EF"/>
    <w:rsid w:val="005E0485"/>
    <w:rsid w:val="00602BCD"/>
    <w:rsid w:val="00644CA5"/>
    <w:rsid w:val="00660012"/>
    <w:rsid w:val="00683471"/>
    <w:rsid w:val="006A2C0D"/>
    <w:rsid w:val="006A479E"/>
    <w:rsid w:val="006B3E57"/>
    <w:rsid w:val="006C1A23"/>
    <w:rsid w:val="00713CF9"/>
    <w:rsid w:val="00721920"/>
    <w:rsid w:val="00727055"/>
    <w:rsid w:val="00756AA9"/>
    <w:rsid w:val="0079737C"/>
    <w:rsid w:val="007C1128"/>
    <w:rsid w:val="007D3F0F"/>
    <w:rsid w:val="00824033"/>
    <w:rsid w:val="008303EB"/>
    <w:rsid w:val="00855E0E"/>
    <w:rsid w:val="008656CC"/>
    <w:rsid w:val="00886664"/>
    <w:rsid w:val="008B060C"/>
    <w:rsid w:val="00932191"/>
    <w:rsid w:val="00941BE3"/>
    <w:rsid w:val="00950776"/>
    <w:rsid w:val="00974001"/>
    <w:rsid w:val="00975538"/>
    <w:rsid w:val="00977F59"/>
    <w:rsid w:val="00991876"/>
    <w:rsid w:val="009A7182"/>
    <w:rsid w:val="009A77A7"/>
    <w:rsid w:val="009C0DE6"/>
    <w:rsid w:val="009D75C0"/>
    <w:rsid w:val="00A17B47"/>
    <w:rsid w:val="00A237F9"/>
    <w:rsid w:val="00A658D1"/>
    <w:rsid w:val="00A7456D"/>
    <w:rsid w:val="00A823A9"/>
    <w:rsid w:val="00A82FAD"/>
    <w:rsid w:val="00A8364D"/>
    <w:rsid w:val="00AB0B1E"/>
    <w:rsid w:val="00AB4F3E"/>
    <w:rsid w:val="00AC0531"/>
    <w:rsid w:val="00B02C6D"/>
    <w:rsid w:val="00B32522"/>
    <w:rsid w:val="00B64FE7"/>
    <w:rsid w:val="00B67DE7"/>
    <w:rsid w:val="00B87F04"/>
    <w:rsid w:val="00BA1BDE"/>
    <w:rsid w:val="00BE1ACF"/>
    <w:rsid w:val="00C10E52"/>
    <w:rsid w:val="00C33529"/>
    <w:rsid w:val="00C42C11"/>
    <w:rsid w:val="00C569EE"/>
    <w:rsid w:val="00C67045"/>
    <w:rsid w:val="00CA5306"/>
    <w:rsid w:val="00CB2AE0"/>
    <w:rsid w:val="00CB648F"/>
    <w:rsid w:val="00D653E0"/>
    <w:rsid w:val="00D7451B"/>
    <w:rsid w:val="00DB3AF8"/>
    <w:rsid w:val="00DE5A41"/>
    <w:rsid w:val="00EA04A6"/>
    <w:rsid w:val="00EB76B3"/>
    <w:rsid w:val="00EE0E82"/>
    <w:rsid w:val="00EE232F"/>
    <w:rsid w:val="00EE237E"/>
    <w:rsid w:val="00EE557C"/>
    <w:rsid w:val="00F205B1"/>
    <w:rsid w:val="00F55505"/>
    <w:rsid w:val="00F71D4E"/>
    <w:rsid w:val="00F93382"/>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CAB"/>
    <w:pPr>
      <w:spacing w:before="120" w:after="240" w:line="480" w:lineRule="auto"/>
      <w:ind w:firstLine="720"/>
    </w:pPr>
    <w:rPr>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A658D1"/>
    <w:pPr>
      <w:ind w:left="360" w:right="187" w:hanging="360"/>
      <w:outlineLvl w:val="1"/>
    </w:pPr>
    <w:rPr>
      <w:rFonts w:ascii="TimesNewRomanPSMT" w:hAnsi="TimesNewRomanPSMT" w:cs="TimesNewRomanPSMT"/>
      <w:b/>
      <w:sz w:val="25"/>
      <w:szCs w:val="17"/>
    </w:rPr>
  </w:style>
  <w:style w:type="paragraph" w:styleId="Heading3">
    <w:name w:val="heading 3"/>
    <w:basedOn w:val="Normal"/>
    <w:next w:val="Normal"/>
    <w:link w:val="Heading3Char"/>
    <w:autoRedefine/>
    <w:uiPriority w:val="9"/>
    <w:unhideWhenUsed/>
    <w:qFormat/>
    <w:rsid w:val="0079737C"/>
    <w:pPr>
      <w:keepNext/>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357F30"/>
    <w:pPr>
      <w:spacing w:before="120" w:after="120"/>
      <w:ind w:left="720" w:right="720"/>
    </w:pPr>
    <w:rPr>
      <w:rFonts w:eastAsiaTheme="majorEastAsia" w:cstheme="majorBidi"/>
      <w:bCs/>
      <w:i/>
      <w:iCs/>
      <w:szCs w:val="24"/>
    </w:rPr>
  </w:style>
  <w:style w:type="character" w:customStyle="1" w:styleId="QuoteChar">
    <w:name w:val="Quote Char"/>
    <w:basedOn w:val="DefaultParagraphFont"/>
    <w:link w:val="Quote"/>
    <w:uiPriority w:val="29"/>
    <w:rsid w:val="00357F30"/>
    <w:rPr>
      <w:rFonts w:eastAsiaTheme="majorEastAsia" w:cstheme="majorBidi"/>
      <w:bCs/>
      <w:i/>
      <w:iCs/>
      <w:szCs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A658D1"/>
    <w:rPr>
      <w:rFonts w:ascii="TimesNewRomanPSMT" w:hAnsi="TimesNewRomanPSMT" w:cs="TimesNewRomanPSMT"/>
      <w:b/>
      <w:sz w:val="25"/>
      <w:szCs w:val="17"/>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A2C0D"/>
    <w:pPr>
      <w:widowControl w:val="0"/>
      <w:autoSpaceDE w:val="0"/>
      <w:autoSpaceDN w:val="0"/>
      <w:adjustRightInd w:val="0"/>
      <w:spacing w:before="120" w:after="120"/>
      <w:ind w:right="1440"/>
    </w:pPr>
    <w:rPr>
      <w:rFonts w:eastAsiaTheme="majorEastAsia"/>
      <w:bCs/>
      <w:color w:val="212121"/>
      <w:sz w:val="24"/>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A823A9"/>
    <w:pPr>
      <w:spacing w:before="0" w:after="0" w:line="240" w:lineRule="auto"/>
      <w:ind w:firstLine="0"/>
      <w:jc w:val="left"/>
    </w:pPr>
    <w:rPr>
      <w:rFonts w:eastAsiaTheme="minorHAnsi"/>
      <w:sz w:val="24"/>
    </w:rPr>
  </w:style>
  <w:style w:type="character" w:customStyle="1" w:styleId="FootnoteChar">
    <w:name w:val="Footnote Char"/>
    <w:basedOn w:val="FootnoteTextChar"/>
    <w:link w:val="Footnote"/>
    <w:rsid w:val="00A823A9"/>
    <w:rPr>
      <w:rFonts w:ascii="Times New Roman" w:eastAsiaTheme="minorHAnsi" w:hAnsi="Times New Roman"/>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ct-search-result-citation">
    <w:name w:val="ct-search-result-citation"/>
    <w:basedOn w:val="DefaultParagraphFont"/>
    <w:rsid w:val="002C553A"/>
  </w:style>
  <w:style w:type="character" w:customStyle="1" w:styleId="explanatory-phrase">
    <w:name w:val="explanatory-phrase"/>
    <w:basedOn w:val="DefaultParagraphFont"/>
    <w:rsid w:val="00A65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CAB"/>
    <w:pPr>
      <w:spacing w:before="120" w:after="240" w:line="480" w:lineRule="auto"/>
      <w:ind w:firstLine="720"/>
    </w:pPr>
    <w:rPr>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A658D1"/>
    <w:pPr>
      <w:ind w:left="360" w:right="187" w:hanging="360"/>
      <w:outlineLvl w:val="1"/>
    </w:pPr>
    <w:rPr>
      <w:rFonts w:ascii="TimesNewRomanPSMT" w:hAnsi="TimesNewRomanPSMT" w:cs="TimesNewRomanPSMT"/>
      <w:b/>
      <w:sz w:val="25"/>
      <w:szCs w:val="17"/>
    </w:rPr>
  </w:style>
  <w:style w:type="paragraph" w:styleId="Heading3">
    <w:name w:val="heading 3"/>
    <w:basedOn w:val="Normal"/>
    <w:next w:val="Normal"/>
    <w:link w:val="Heading3Char"/>
    <w:autoRedefine/>
    <w:uiPriority w:val="9"/>
    <w:unhideWhenUsed/>
    <w:qFormat/>
    <w:rsid w:val="0079737C"/>
    <w:pPr>
      <w:keepNext/>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357F30"/>
    <w:pPr>
      <w:spacing w:before="120" w:after="120"/>
      <w:ind w:left="720" w:right="720"/>
    </w:pPr>
    <w:rPr>
      <w:rFonts w:eastAsiaTheme="majorEastAsia" w:cstheme="majorBidi"/>
      <w:bCs/>
      <w:i/>
      <w:iCs/>
      <w:szCs w:val="24"/>
    </w:rPr>
  </w:style>
  <w:style w:type="character" w:customStyle="1" w:styleId="QuoteChar">
    <w:name w:val="Quote Char"/>
    <w:basedOn w:val="DefaultParagraphFont"/>
    <w:link w:val="Quote"/>
    <w:uiPriority w:val="29"/>
    <w:rsid w:val="00357F30"/>
    <w:rPr>
      <w:rFonts w:eastAsiaTheme="majorEastAsia" w:cstheme="majorBidi"/>
      <w:bCs/>
      <w:i/>
      <w:iCs/>
      <w:szCs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A658D1"/>
    <w:rPr>
      <w:rFonts w:ascii="TimesNewRomanPSMT" w:hAnsi="TimesNewRomanPSMT" w:cs="TimesNewRomanPSMT"/>
      <w:b/>
      <w:sz w:val="25"/>
      <w:szCs w:val="17"/>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A2C0D"/>
    <w:pPr>
      <w:widowControl w:val="0"/>
      <w:autoSpaceDE w:val="0"/>
      <w:autoSpaceDN w:val="0"/>
      <w:adjustRightInd w:val="0"/>
      <w:spacing w:before="120" w:after="120"/>
      <w:ind w:right="1440"/>
    </w:pPr>
    <w:rPr>
      <w:rFonts w:eastAsiaTheme="majorEastAsia"/>
      <w:bCs/>
      <w:color w:val="212121"/>
      <w:sz w:val="24"/>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A823A9"/>
    <w:pPr>
      <w:spacing w:before="0" w:after="0" w:line="240" w:lineRule="auto"/>
      <w:ind w:firstLine="0"/>
      <w:jc w:val="left"/>
    </w:pPr>
    <w:rPr>
      <w:rFonts w:eastAsiaTheme="minorHAnsi"/>
      <w:sz w:val="24"/>
    </w:rPr>
  </w:style>
  <w:style w:type="character" w:customStyle="1" w:styleId="FootnoteChar">
    <w:name w:val="Footnote Char"/>
    <w:basedOn w:val="FootnoteTextChar"/>
    <w:link w:val="Footnote"/>
    <w:rsid w:val="00A823A9"/>
    <w:rPr>
      <w:rFonts w:ascii="Times New Roman" w:eastAsiaTheme="minorHAnsi" w:hAnsi="Times New Roman"/>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ct-search-result-citation">
    <w:name w:val="ct-search-result-citation"/>
    <w:basedOn w:val="DefaultParagraphFont"/>
    <w:rsid w:val="002C553A"/>
  </w:style>
  <w:style w:type="character" w:customStyle="1" w:styleId="explanatory-phrase">
    <w:name w:val="explanatory-phrase"/>
    <w:basedOn w:val="DefaultParagraphFont"/>
    <w:rsid w:val="00A65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8310">
      <w:bodyDiv w:val="1"/>
      <w:marLeft w:val="0"/>
      <w:marRight w:val="0"/>
      <w:marTop w:val="0"/>
      <w:marBottom w:val="0"/>
      <w:divBdr>
        <w:top w:val="none" w:sz="0" w:space="0" w:color="auto"/>
        <w:left w:val="none" w:sz="0" w:space="0" w:color="auto"/>
        <w:bottom w:val="none" w:sz="0" w:space="0" w:color="auto"/>
        <w:right w:val="none" w:sz="0" w:space="0" w:color="auto"/>
      </w:divBdr>
      <w:divsChild>
        <w:div w:id="260190039">
          <w:marLeft w:val="0"/>
          <w:marRight w:val="0"/>
          <w:marTop w:val="0"/>
          <w:marBottom w:val="0"/>
          <w:divBdr>
            <w:top w:val="none" w:sz="0" w:space="0" w:color="auto"/>
            <w:left w:val="none" w:sz="0" w:space="0" w:color="auto"/>
            <w:bottom w:val="none" w:sz="0" w:space="0" w:color="auto"/>
            <w:right w:val="none" w:sz="0" w:space="0" w:color="auto"/>
          </w:divBdr>
          <w:divsChild>
            <w:div w:id="1383745565">
              <w:marLeft w:val="0"/>
              <w:marRight w:val="0"/>
              <w:marTop w:val="0"/>
              <w:marBottom w:val="0"/>
              <w:divBdr>
                <w:top w:val="none" w:sz="0" w:space="0" w:color="auto"/>
                <w:left w:val="none" w:sz="0" w:space="0" w:color="auto"/>
                <w:bottom w:val="none" w:sz="0" w:space="0" w:color="auto"/>
                <w:right w:val="none" w:sz="0" w:space="0" w:color="auto"/>
              </w:divBdr>
            </w:div>
          </w:divsChild>
        </w:div>
        <w:div w:id="1128664048">
          <w:marLeft w:val="0"/>
          <w:marRight w:val="0"/>
          <w:marTop w:val="0"/>
          <w:marBottom w:val="0"/>
          <w:divBdr>
            <w:top w:val="none" w:sz="0" w:space="0" w:color="auto"/>
            <w:left w:val="none" w:sz="0" w:space="0" w:color="auto"/>
            <w:bottom w:val="none" w:sz="0" w:space="0" w:color="auto"/>
            <w:right w:val="none" w:sz="0" w:space="0" w:color="auto"/>
          </w:divBdr>
        </w:div>
      </w:divsChild>
    </w:div>
    <w:div w:id="33118232">
      <w:bodyDiv w:val="1"/>
      <w:marLeft w:val="0"/>
      <w:marRight w:val="0"/>
      <w:marTop w:val="0"/>
      <w:marBottom w:val="0"/>
      <w:divBdr>
        <w:top w:val="none" w:sz="0" w:space="0" w:color="auto"/>
        <w:left w:val="none" w:sz="0" w:space="0" w:color="auto"/>
        <w:bottom w:val="none" w:sz="0" w:space="0" w:color="auto"/>
        <w:right w:val="none" w:sz="0" w:space="0" w:color="auto"/>
      </w:divBdr>
      <w:divsChild>
        <w:div w:id="287248443">
          <w:marLeft w:val="0"/>
          <w:marRight w:val="0"/>
          <w:marTop w:val="0"/>
          <w:marBottom w:val="0"/>
          <w:divBdr>
            <w:top w:val="none" w:sz="0" w:space="0" w:color="auto"/>
            <w:left w:val="none" w:sz="0" w:space="0" w:color="auto"/>
            <w:bottom w:val="none" w:sz="0" w:space="0" w:color="auto"/>
            <w:right w:val="none" w:sz="0" w:space="0" w:color="auto"/>
          </w:divBdr>
          <w:divsChild>
            <w:div w:id="1884058576">
              <w:marLeft w:val="0"/>
              <w:marRight w:val="0"/>
              <w:marTop w:val="0"/>
              <w:marBottom w:val="0"/>
              <w:divBdr>
                <w:top w:val="none" w:sz="0" w:space="0" w:color="auto"/>
                <w:left w:val="none" w:sz="0" w:space="0" w:color="auto"/>
                <w:bottom w:val="none" w:sz="0" w:space="0" w:color="auto"/>
                <w:right w:val="none" w:sz="0" w:space="0" w:color="auto"/>
              </w:divBdr>
            </w:div>
          </w:divsChild>
        </w:div>
        <w:div w:id="696081084">
          <w:marLeft w:val="0"/>
          <w:marRight w:val="0"/>
          <w:marTop w:val="0"/>
          <w:marBottom w:val="0"/>
          <w:divBdr>
            <w:top w:val="none" w:sz="0" w:space="0" w:color="auto"/>
            <w:left w:val="none" w:sz="0" w:space="0" w:color="auto"/>
            <w:bottom w:val="none" w:sz="0" w:space="0" w:color="auto"/>
            <w:right w:val="none" w:sz="0" w:space="0" w:color="auto"/>
          </w:divBdr>
        </w:div>
      </w:divsChild>
    </w:div>
    <w:div w:id="124279175">
      <w:bodyDiv w:val="1"/>
      <w:marLeft w:val="0"/>
      <w:marRight w:val="0"/>
      <w:marTop w:val="0"/>
      <w:marBottom w:val="0"/>
      <w:divBdr>
        <w:top w:val="none" w:sz="0" w:space="0" w:color="auto"/>
        <w:left w:val="none" w:sz="0" w:space="0" w:color="auto"/>
        <w:bottom w:val="none" w:sz="0" w:space="0" w:color="auto"/>
        <w:right w:val="none" w:sz="0" w:space="0" w:color="auto"/>
      </w:divBdr>
      <w:divsChild>
        <w:div w:id="1941797508">
          <w:marLeft w:val="0"/>
          <w:marRight w:val="0"/>
          <w:marTop w:val="0"/>
          <w:marBottom w:val="0"/>
          <w:divBdr>
            <w:top w:val="none" w:sz="0" w:space="0" w:color="auto"/>
            <w:left w:val="none" w:sz="0" w:space="0" w:color="auto"/>
            <w:bottom w:val="none" w:sz="0" w:space="0" w:color="auto"/>
            <w:right w:val="none" w:sz="0" w:space="0" w:color="auto"/>
          </w:divBdr>
          <w:divsChild>
            <w:div w:id="1502160184">
              <w:marLeft w:val="0"/>
              <w:marRight w:val="0"/>
              <w:marTop w:val="0"/>
              <w:marBottom w:val="0"/>
              <w:divBdr>
                <w:top w:val="none" w:sz="0" w:space="0" w:color="auto"/>
                <w:left w:val="none" w:sz="0" w:space="0" w:color="auto"/>
                <w:bottom w:val="none" w:sz="0" w:space="0" w:color="auto"/>
                <w:right w:val="none" w:sz="0" w:space="0" w:color="auto"/>
              </w:divBdr>
            </w:div>
          </w:divsChild>
        </w:div>
        <w:div w:id="902327884">
          <w:marLeft w:val="0"/>
          <w:marRight w:val="0"/>
          <w:marTop w:val="0"/>
          <w:marBottom w:val="0"/>
          <w:divBdr>
            <w:top w:val="none" w:sz="0" w:space="0" w:color="auto"/>
            <w:left w:val="none" w:sz="0" w:space="0" w:color="auto"/>
            <w:bottom w:val="none" w:sz="0" w:space="0" w:color="auto"/>
            <w:right w:val="none" w:sz="0" w:space="0" w:color="auto"/>
          </w:divBdr>
        </w:div>
      </w:divsChild>
    </w:div>
    <w:div w:id="142818021">
      <w:bodyDiv w:val="1"/>
      <w:marLeft w:val="0"/>
      <w:marRight w:val="0"/>
      <w:marTop w:val="0"/>
      <w:marBottom w:val="0"/>
      <w:divBdr>
        <w:top w:val="none" w:sz="0" w:space="0" w:color="auto"/>
        <w:left w:val="none" w:sz="0" w:space="0" w:color="auto"/>
        <w:bottom w:val="none" w:sz="0" w:space="0" w:color="auto"/>
        <w:right w:val="none" w:sz="0" w:space="0" w:color="auto"/>
      </w:divBdr>
    </w:div>
    <w:div w:id="214660617">
      <w:bodyDiv w:val="1"/>
      <w:marLeft w:val="0"/>
      <w:marRight w:val="0"/>
      <w:marTop w:val="0"/>
      <w:marBottom w:val="0"/>
      <w:divBdr>
        <w:top w:val="none" w:sz="0" w:space="0" w:color="auto"/>
        <w:left w:val="none" w:sz="0" w:space="0" w:color="auto"/>
        <w:bottom w:val="none" w:sz="0" w:space="0" w:color="auto"/>
        <w:right w:val="none" w:sz="0" w:space="0" w:color="auto"/>
      </w:divBdr>
    </w:div>
    <w:div w:id="252860408">
      <w:bodyDiv w:val="1"/>
      <w:marLeft w:val="0"/>
      <w:marRight w:val="0"/>
      <w:marTop w:val="0"/>
      <w:marBottom w:val="0"/>
      <w:divBdr>
        <w:top w:val="none" w:sz="0" w:space="0" w:color="auto"/>
        <w:left w:val="none" w:sz="0" w:space="0" w:color="auto"/>
        <w:bottom w:val="none" w:sz="0" w:space="0" w:color="auto"/>
        <w:right w:val="none" w:sz="0" w:space="0" w:color="auto"/>
      </w:divBdr>
      <w:divsChild>
        <w:div w:id="245574700">
          <w:marLeft w:val="0"/>
          <w:marRight w:val="0"/>
          <w:marTop w:val="0"/>
          <w:marBottom w:val="0"/>
          <w:divBdr>
            <w:top w:val="none" w:sz="0" w:space="0" w:color="auto"/>
            <w:left w:val="none" w:sz="0" w:space="0" w:color="auto"/>
            <w:bottom w:val="none" w:sz="0" w:space="0" w:color="auto"/>
            <w:right w:val="none" w:sz="0" w:space="0" w:color="auto"/>
          </w:divBdr>
          <w:divsChild>
            <w:div w:id="1374229042">
              <w:marLeft w:val="0"/>
              <w:marRight w:val="0"/>
              <w:marTop w:val="0"/>
              <w:marBottom w:val="0"/>
              <w:divBdr>
                <w:top w:val="none" w:sz="0" w:space="0" w:color="auto"/>
                <w:left w:val="none" w:sz="0" w:space="0" w:color="auto"/>
                <w:bottom w:val="none" w:sz="0" w:space="0" w:color="auto"/>
                <w:right w:val="none" w:sz="0" w:space="0" w:color="auto"/>
              </w:divBdr>
            </w:div>
          </w:divsChild>
        </w:div>
        <w:div w:id="406541442">
          <w:marLeft w:val="0"/>
          <w:marRight w:val="0"/>
          <w:marTop w:val="0"/>
          <w:marBottom w:val="0"/>
          <w:divBdr>
            <w:top w:val="none" w:sz="0" w:space="0" w:color="auto"/>
            <w:left w:val="none" w:sz="0" w:space="0" w:color="auto"/>
            <w:bottom w:val="none" w:sz="0" w:space="0" w:color="auto"/>
            <w:right w:val="none" w:sz="0" w:space="0" w:color="auto"/>
          </w:divBdr>
        </w:div>
      </w:divsChild>
    </w:div>
    <w:div w:id="295530975">
      <w:bodyDiv w:val="1"/>
      <w:marLeft w:val="0"/>
      <w:marRight w:val="0"/>
      <w:marTop w:val="0"/>
      <w:marBottom w:val="0"/>
      <w:divBdr>
        <w:top w:val="none" w:sz="0" w:space="0" w:color="auto"/>
        <w:left w:val="none" w:sz="0" w:space="0" w:color="auto"/>
        <w:bottom w:val="none" w:sz="0" w:space="0" w:color="auto"/>
        <w:right w:val="none" w:sz="0" w:space="0" w:color="auto"/>
      </w:divBdr>
      <w:divsChild>
        <w:div w:id="1572231581">
          <w:marLeft w:val="0"/>
          <w:marRight w:val="0"/>
          <w:marTop w:val="0"/>
          <w:marBottom w:val="0"/>
          <w:divBdr>
            <w:top w:val="none" w:sz="0" w:space="0" w:color="auto"/>
            <w:left w:val="none" w:sz="0" w:space="0" w:color="auto"/>
            <w:bottom w:val="none" w:sz="0" w:space="0" w:color="auto"/>
            <w:right w:val="none" w:sz="0" w:space="0" w:color="auto"/>
          </w:divBdr>
          <w:divsChild>
            <w:div w:id="676032242">
              <w:marLeft w:val="0"/>
              <w:marRight w:val="0"/>
              <w:marTop w:val="0"/>
              <w:marBottom w:val="0"/>
              <w:divBdr>
                <w:top w:val="none" w:sz="0" w:space="0" w:color="auto"/>
                <w:left w:val="none" w:sz="0" w:space="0" w:color="auto"/>
                <w:bottom w:val="none" w:sz="0" w:space="0" w:color="auto"/>
                <w:right w:val="none" w:sz="0" w:space="0" w:color="auto"/>
              </w:divBdr>
            </w:div>
          </w:divsChild>
        </w:div>
        <w:div w:id="2062438676">
          <w:marLeft w:val="0"/>
          <w:marRight w:val="0"/>
          <w:marTop w:val="0"/>
          <w:marBottom w:val="0"/>
          <w:divBdr>
            <w:top w:val="none" w:sz="0" w:space="0" w:color="auto"/>
            <w:left w:val="none" w:sz="0" w:space="0" w:color="auto"/>
            <w:bottom w:val="none" w:sz="0" w:space="0" w:color="auto"/>
            <w:right w:val="none" w:sz="0" w:space="0" w:color="auto"/>
          </w:divBdr>
        </w:div>
      </w:divsChild>
    </w:div>
    <w:div w:id="405809112">
      <w:bodyDiv w:val="1"/>
      <w:marLeft w:val="0"/>
      <w:marRight w:val="0"/>
      <w:marTop w:val="0"/>
      <w:marBottom w:val="0"/>
      <w:divBdr>
        <w:top w:val="none" w:sz="0" w:space="0" w:color="auto"/>
        <w:left w:val="none" w:sz="0" w:space="0" w:color="auto"/>
        <w:bottom w:val="none" w:sz="0" w:space="0" w:color="auto"/>
        <w:right w:val="none" w:sz="0" w:space="0" w:color="auto"/>
      </w:divBdr>
      <w:divsChild>
        <w:div w:id="836120326">
          <w:marLeft w:val="0"/>
          <w:marRight w:val="0"/>
          <w:marTop w:val="0"/>
          <w:marBottom w:val="0"/>
          <w:divBdr>
            <w:top w:val="none" w:sz="0" w:space="0" w:color="auto"/>
            <w:left w:val="none" w:sz="0" w:space="0" w:color="auto"/>
            <w:bottom w:val="none" w:sz="0" w:space="0" w:color="auto"/>
            <w:right w:val="none" w:sz="0" w:space="0" w:color="auto"/>
          </w:divBdr>
        </w:div>
      </w:divsChild>
    </w:div>
    <w:div w:id="420569337">
      <w:bodyDiv w:val="1"/>
      <w:marLeft w:val="0"/>
      <w:marRight w:val="0"/>
      <w:marTop w:val="0"/>
      <w:marBottom w:val="0"/>
      <w:divBdr>
        <w:top w:val="none" w:sz="0" w:space="0" w:color="auto"/>
        <w:left w:val="none" w:sz="0" w:space="0" w:color="auto"/>
        <w:bottom w:val="none" w:sz="0" w:space="0" w:color="auto"/>
        <w:right w:val="none" w:sz="0" w:space="0" w:color="auto"/>
      </w:divBdr>
      <w:divsChild>
        <w:div w:id="1128429497">
          <w:marLeft w:val="0"/>
          <w:marRight w:val="0"/>
          <w:marTop w:val="0"/>
          <w:marBottom w:val="0"/>
          <w:divBdr>
            <w:top w:val="none" w:sz="0" w:space="0" w:color="auto"/>
            <w:left w:val="none" w:sz="0" w:space="0" w:color="auto"/>
            <w:bottom w:val="none" w:sz="0" w:space="0" w:color="auto"/>
            <w:right w:val="none" w:sz="0" w:space="0" w:color="auto"/>
          </w:divBdr>
          <w:divsChild>
            <w:div w:id="1447315499">
              <w:marLeft w:val="0"/>
              <w:marRight w:val="0"/>
              <w:marTop w:val="0"/>
              <w:marBottom w:val="0"/>
              <w:divBdr>
                <w:top w:val="none" w:sz="0" w:space="0" w:color="auto"/>
                <w:left w:val="none" w:sz="0" w:space="0" w:color="auto"/>
                <w:bottom w:val="none" w:sz="0" w:space="0" w:color="auto"/>
                <w:right w:val="none" w:sz="0" w:space="0" w:color="auto"/>
              </w:divBdr>
            </w:div>
          </w:divsChild>
        </w:div>
        <w:div w:id="404257611">
          <w:marLeft w:val="0"/>
          <w:marRight w:val="0"/>
          <w:marTop w:val="0"/>
          <w:marBottom w:val="0"/>
          <w:divBdr>
            <w:top w:val="none" w:sz="0" w:space="0" w:color="auto"/>
            <w:left w:val="none" w:sz="0" w:space="0" w:color="auto"/>
            <w:bottom w:val="none" w:sz="0" w:space="0" w:color="auto"/>
            <w:right w:val="none" w:sz="0" w:space="0" w:color="auto"/>
          </w:divBdr>
        </w:div>
      </w:divsChild>
    </w:div>
    <w:div w:id="487477394">
      <w:bodyDiv w:val="1"/>
      <w:marLeft w:val="0"/>
      <w:marRight w:val="0"/>
      <w:marTop w:val="0"/>
      <w:marBottom w:val="0"/>
      <w:divBdr>
        <w:top w:val="none" w:sz="0" w:space="0" w:color="auto"/>
        <w:left w:val="none" w:sz="0" w:space="0" w:color="auto"/>
        <w:bottom w:val="none" w:sz="0" w:space="0" w:color="auto"/>
        <w:right w:val="none" w:sz="0" w:space="0" w:color="auto"/>
      </w:divBdr>
      <w:divsChild>
        <w:div w:id="2061702779">
          <w:marLeft w:val="0"/>
          <w:marRight w:val="0"/>
          <w:marTop w:val="0"/>
          <w:marBottom w:val="0"/>
          <w:divBdr>
            <w:top w:val="none" w:sz="0" w:space="0" w:color="auto"/>
            <w:left w:val="none" w:sz="0" w:space="0" w:color="auto"/>
            <w:bottom w:val="none" w:sz="0" w:space="0" w:color="auto"/>
            <w:right w:val="none" w:sz="0" w:space="0" w:color="auto"/>
          </w:divBdr>
          <w:divsChild>
            <w:div w:id="1839808279">
              <w:marLeft w:val="0"/>
              <w:marRight w:val="0"/>
              <w:marTop w:val="0"/>
              <w:marBottom w:val="0"/>
              <w:divBdr>
                <w:top w:val="none" w:sz="0" w:space="0" w:color="auto"/>
                <w:left w:val="none" w:sz="0" w:space="0" w:color="auto"/>
                <w:bottom w:val="none" w:sz="0" w:space="0" w:color="auto"/>
                <w:right w:val="none" w:sz="0" w:space="0" w:color="auto"/>
              </w:divBdr>
            </w:div>
          </w:divsChild>
        </w:div>
        <w:div w:id="2022583697">
          <w:marLeft w:val="0"/>
          <w:marRight w:val="0"/>
          <w:marTop w:val="0"/>
          <w:marBottom w:val="0"/>
          <w:divBdr>
            <w:top w:val="none" w:sz="0" w:space="0" w:color="auto"/>
            <w:left w:val="none" w:sz="0" w:space="0" w:color="auto"/>
            <w:bottom w:val="none" w:sz="0" w:space="0" w:color="auto"/>
            <w:right w:val="none" w:sz="0" w:space="0" w:color="auto"/>
          </w:divBdr>
        </w:div>
      </w:divsChild>
    </w:div>
    <w:div w:id="501435690">
      <w:bodyDiv w:val="1"/>
      <w:marLeft w:val="0"/>
      <w:marRight w:val="0"/>
      <w:marTop w:val="0"/>
      <w:marBottom w:val="0"/>
      <w:divBdr>
        <w:top w:val="none" w:sz="0" w:space="0" w:color="auto"/>
        <w:left w:val="none" w:sz="0" w:space="0" w:color="auto"/>
        <w:bottom w:val="none" w:sz="0" w:space="0" w:color="auto"/>
        <w:right w:val="none" w:sz="0" w:space="0" w:color="auto"/>
      </w:divBdr>
      <w:divsChild>
        <w:div w:id="1489899207">
          <w:marLeft w:val="0"/>
          <w:marRight w:val="0"/>
          <w:marTop w:val="0"/>
          <w:marBottom w:val="0"/>
          <w:divBdr>
            <w:top w:val="none" w:sz="0" w:space="0" w:color="auto"/>
            <w:left w:val="none" w:sz="0" w:space="0" w:color="auto"/>
            <w:bottom w:val="none" w:sz="0" w:space="0" w:color="auto"/>
            <w:right w:val="none" w:sz="0" w:space="0" w:color="auto"/>
          </w:divBdr>
          <w:divsChild>
            <w:div w:id="1534272670">
              <w:marLeft w:val="0"/>
              <w:marRight w:val="0"/>
              <w:marTop w:val="0"/>
              <w:marBottom w:val="0"/>
              <w:divBdr>
                <w:top w:val="none" w:sz="0" w:space="0" w:color="auto"/>
                <w:left w:val="none" w:sz="0" w:space="0" w:color="auto"/>
                <w:bottom w:val="none" w:sz="0" w:space="0" w:color="auto"/>
                <w:right w:val="none" w:sz="0" w:space="0" w:color="auto"/>
              </w:divBdr>
            </w:div>
          </w:divsChild>
        </w:div>
        <w:div w:id="1828132249">
          <w:marLeft w:val="0"/>
          <w:marRight w:val="0"/>
          <w:marTop w:val="0"/>
          <w:marBottom w:val="0"/>
          <w:divBdr>
            <w:top w:val="none" w:sz="0" w:space="0" w:color="auto"/>
            <w:left w:val="none" w:sz="0" w:space="0" w:color="auto"/>
            <w:bottom w:val="none" w:sz="0" w:space="0" w:color="auto"/>
            <w:right w:val="none" w:sz="0" w:space="0" w:color="auto"/>
          </w:divBdr>
        </w:div>
      </w:divsChild>
    </w:div>
    <w:div w:id="502286011">
      <w:bodyDiv w:val="1"/>
      <w:marLeft w:val="0"/>
      <w:marRight w:val="0"/>
      <w:marTop w:val="0"/>
      <w:marBottom w:val="0"/>
      <w:divBdr>
        <w:top w:val="none" w:sz="0" w:space="0" w:color="auto"/>
        <w:left w:val="none" w:sz="0" w:space="0" w:color="auto"/>
        <w:bottom w:val="none" w:sz="0" w:space="0" w:color="auto"/>
        <w:right w:val="none" w:sz="0" w:space="0" w:color="auto"/>
      </w:divBdr>
    </w:div>
    <w:div w:id="510490454">
      <w:bodyDiv w:val="1"/>
      <w:marLeft w:val="0"/>
      <w:marRight w:val="0"/>
      <w:marTop w:val="0"/>
      <w:marBottom w:val="0"/>
      <w:divBdr>
        <w:top w:val="none" w:sz="0" w:space="0" w:color="auto"/>
        <w:left w:val="none" w:sz="0" w:space="0" w:color="auto"/>
        <w:bottom w:val="none" w:sz="0" w:space="0" w:color="auto"/>
        <w:right w:val="none" w:sz="0" w:space="0" w:color="auto"/>
      </w:divBdr>
      <w:divsChild>
        <w:div w:id="35930260">
          <w:marLeft w:val="0"/>
          <w:marRight w:val="0"/>
          <w:marTop w:val="0"/>
          <w:marBottom w:val="0"/>
          <w:divBdr>
            <w:top w:val="none" w:sz="0" w:space="0" w:color="auto"/>
            <w:left w:val="none" w:sz="0" w:space="0" w:color="auto"/>
            <w:bottom w:val="none" w:sz="0" w:space="0" w:color="auto"/>
            <w:right w:val="none" w:sz="0" w:space="0" w:color="auto"/>
          </w:divBdr>
          <w:divsChild>
            <w:div w:id="1086658151">
              <w:marLeft w:val="0"/>
              <w:marRight w:val="0"/>
              <w:marTop w:val="0"/>
              <w:marBottom w:val="0"/>
              <w:divBdr>
                <w:top w:val="none" w:sz="0" w:space="0" w:color="auto"/>
                <w:left w:val="none" w:sz="0" w:space="0" w:color="auto"/>
                <w:bottom w:val="none" w:sz="0" w:space="0" w:color="auto"/>
                <w:right w:val="none" w:sz="0" w:space="0" w:color="auto"/>
              </w:divBdr>
            </w:div>
          </w:divsChild>
        </w:div>
        <w:div w:id="2012289563">
          <w:marLeft w:val="0"/>
          <w:marRight w:val="0"/>
          <w:marTop w:val="0"/>
          <w:marBottom w:val="0"/>
          <w:divBdr>
            <w:top w:val="none" w:sz="0" w:space="0" w:color="auto"/>
            <w:left w:val="none" w:sz="0" w:space="0" w:color="auto"/>
            <w:bottom w:val="none" w:sz="0" w:space="0" w:color="auto"/>
            <w:right w:val="none" w:sz="0" w:space="0" w:color="auto"/>
          </w:divBdr>
        </w:div>
      </w:divsChild>
    </w:div>
    <w:div w:id="517083030">
      <w:bodyDiv w:val="1"/>
      <w:marLeft w:val="0"/>
      <w:marRight w:val="0"/>
      <w:marTop w:val="0"/>
      <w:marBottom w:val="0"/>
      <w:divBdr>
        <w:top w:val="none" w:sz="0" w:space="0" w:color="auto"/>
        <w:left w:val="none" w:sz="0" w:space="0" w:color="auto"/>
        <w:bottom w:val="none" w:sz="0" w:space="0" w:color="auto"/>
        <w:right w:val="none" w:sz="0" w:space="0" w:color="auto"/>
      </w:divBdr>
      <w:divsChild>
        <w:div w:id="564145349">
          <w:marLeft w:val="0"/>
          <w:marRight w:val="0"/>
          <w:marTop w:val="0"/>
          <w:marBottom w:val="0"/>
          <w:divBdr>
            <w:top w:val="none" w:sz="0" w:space="0" w:color="auto"/>
            <w:left w:val="none" w:sz="0" w:space="0" w:color="auto"/>
            <w:bottom w:val="none" w:sz="0" w:space="0" w:color="auto"/>
            <w:right w:val="none" w:sz="0" w:space="0" w:color="auto"/>
          </w:divBdr>
          <w:divsChild>
            <w:div w:id="1211530380">
              <w:marLeft w:val="0"/>
              <w:marRight w:val="0"/>
              <w:marTop w:val="0"/>
              <w:marBottom w:val="0"/>
              <w:divBdr>
                <w:top w:val="none" w:sz="0" w:space="0" w:color="auto"/>
                <w:left w:val="none" w:sz="0" w:space="0" w:color="auto"/>
                <w:bottom w:val="none" w:sz="0" w:space="0" w:color="auto"/>
                <w:right w:val="none" w:sz="0" w:space="0" w:color="auto"/>
              </w:divBdr>
            </w:div>
          </w:divsChild>
        </w:div>
        <w:div w:id="585847528">
          <w:marLeft w:val="0"/>
          <w:marRight w:val="0"/>
          <w:marTop w:val="0"/>
          <w:marBottom w:val="0"/>
          <w:divBdr>
            <w:top w:val="none" w:sz="0" w:space="0" w:color="auto"/>
            <w:left w:val="none" w:sz="0" w:space="0" w:color="auto"/>
            <w:bottom w:val="none" w:sz="0" w:space="0" w:color="auto"/>
            <w:right w:val="none" w:sz="0" w:space="0" w:color="auto"/>
          </w:divBdr>
        </w:div>
      </w:divsChild>
    </w:div>
    <w:div w:id="526985085">
      <w:bodyDiv w:val="1"/>
      <w:marLeft w:val="0"/>
      <w:marRight w:val="0"/>
      <w:marTop w:val="0"/>
      <w:marBottom w:val="0"/>
      <w:divBdr>
        <w:top w:val="none" w:sz="0" w:space="0" w:color="auto"/>
        <w:left w:val="none" w:sz="0" w:space="0" w:color="auto"/>
        <w:bottom w:val="none" w:sz="0" w:space="0" w:color="auto"/>
        <w:right w:val="none" w:sz="0" w:space="0" w:color="auto"/>
      </w:divBdr>
      <w:divsChild>
        <w:div w:id="89816831">
          <w:marLeft w:val="0"/>
          <w:marRight w:val="0"/>
          <w:marTop w:val="0"/>
          <w:marBottom w:val="0"/>
          <w:divBdr>
            <w:top w:val="none" w:sz="0" w:space="0" w:color="auto"/>
            <w:left w:val="none" w:sz="0" w:space="0" w:color="auto"/>
            <w:bottom w:val="none" w:sz="0" w:space="0" w:color="auto"/>
            <w:right w:val="none" w:sz="0" w:space="0" w:color="auto"/>
          </w:divBdr>
          <w:divsChild>
            <w:div w:id="1863861056">
              <w:marLeft w:val="0"/>
              <w:marRight w:val="0"/>
              <w:marTop w:val="0"/>
              <w:marBottom w:val="0"/>
              <w:divBdr>
                <w:top w:val="none" w:sz="0" w:space="0" w:color="auto"/>
                <w:left w:val="none" w:sz="0" w:space="0" w:color="auto"/>
                <w:bottom w:val="none" w:sz="0" w:space="0" w:color="auto"/>
                <w:right w:val="none" w:sz="0" w:space="0" w:color="auto"/>
              </w:divBdr>
            </w:div>
          </w:divsChild>
        </w:div>
        <w:div w:id="457333207">
          <w:marLeft w:val="0"/>
          <w:marRight w:val="0"/>
          <w:marTop w:val="0"/>
          <w:marBottom w:val="0"/>
          <w:divBdr>
            <w:top w:val="none" w:sz="0" w:space="0" w:color="auto"/>
            <w:left w:val="none" w:sz="0" w:space="0" w:color="auto"/>
            <w:bottom w:val="none" w:sz="0" w:space="0" w:color="auto"/>
            <w:right w:val="none" w:sz="0" w:space="0" w:color="auto"/>
          </w:divBdr>
        </w:div>
      </w:divsChild>
    </w:div>
    <w:div w:id="554705964">
      <w:bodyDiv w:val="1"/>
      <w:marLeft w:val="0"/>
      <w:marRight w:val="0"/>
      <w:marTop w:val="0"/>
      <w:marBottom w:val="0"/>
      <w:divBdr>
        <w:top w:val="none" w:sz="0" w:space="0" w:color="auto"/>
        <w:left w:val="none" w:sz="0" w:space="0" w:color="auto"/>
        <w:bottom w:val="none" w:sz="0" w:space="0" w:color="auto"/>
        <w:right w:val="none" w:sz="0" w:space="0" w:color="auto"/>
      </w:divBdr>
    </w:div>
    <w:div w:id="579488111">
      <w:bodyDiv w:val="1"/>
      <w:marLeft w:val="0"/>
      <w:marRight w:val="0"/>
      <w:marTop w:val="0"/>
      <w:marBottom w:val="0"/>
      <w:divBdr>
        <w:top w:val="none" w:sz="0" w:space="0" w:color="auto"/>
        <w:left w:val="none" w:sz="0" w:space="0" w:color="auto"/>
        <w:bottom w:val="none" w:sz="0" w:space="0" w:color="auto"/>
        <w:right w:val="none" w:sz="0" w:space="0" w:color="auto"/>
      </w:divBdr>
      <w:divsChild>
        <w:div w:id="1100298858">
          <w:marLeft w:val="0"/>
          <w:marRight w:val="0"/>
          <w:marTop w:val="0"/>
          <w:marBottom w:val="0"/>
          <w:divBdr>
            <w:top w:val="none" w:sz="0" w:space="0" w:color="auto"/>
            <w:left w:val="none" w:sz="0" w:space="0" w:color="auto"/>
            <w:bottom w:val="none" w:sz="0" w:space="0" w:color="auto"/>
            <w:right w:val="none" w:sz="0" w:space="0" w:color="auto"/>
          </w:divBdr>
          <w:divsChild>
            <w:div w:id="2141026117">
              <w:marLeft w:val="0"/>
              <w:marRight w:val="0"/>
              <w:marTop w:val="0"/>
              <w:marBottom w:val="0"/>
              <w:divBdr>
                <w:top w:val="none" w:sz="0" w:space="0" w:color="auto"/>
                <w:left w:val="none" w:sz="0" w:space="0" w:color="auto"/>
                <w:bottom w:val="none" w:sz="0" w:space="0" w:color="auto"/>
                <w:right w:val="none" w:sz="0" w:space="0" w:color="auto"/>
              </w:divBdr>
            </w:div>
          </w:divsChild>
        </w:div>
        <w:div w:id="2114742200">
          <w:marLeft w:val="0"/>
          <w:marRight w:val="0"/>
          <w:marTop w:val="0"/>
          <w:marBottom w:val="0"/>
          <w:divBdr>
            <w:top w:val="none" w:sz="0" w:space="0" w:color="auto"/>
            <w:left w:val="none" w:sz="0" w:space="0" w:color="auto"/>
            <w:bottom w:val="none" w:sz="0" w:space="0" w:color="auto"/>
            <w:right w:val="none" w:sz="0" w:space="0" w:color="auto"/>
          </w:divBdr>
        </w:div>
      </w:divsChild>
    </w:div>
    <w:div w:id="596133151">
      <w:bodyDiv w:val="1"/>
      <w:marLeft w:val="0"/>
      <w:marRight w:val="0"/>
      <w:marTop w:val="0"/>
      <w:marBottom w:val="0"/>
      <w:divBdr>
        <w:top w:val="none" w:sz="0" w:space="0" w:color="auto"/>
        <w:left w:val="none" w:sz="0" w:space="0" w:color="auto"/>
        <w:bottom w:val="none" w:sz="0" w:space="0" w:color="auto"/>
        <w:right w:val="none" w:sz="0" w:space="0" w:color="auto"/>
      </w:divBdr>
    </w:div>
    <w:div w:id="656417215">
      <w:bodyDiv w:val="1"/>
      <w:marLeft w:val="0"/>
      <w:marRight w:val="0"/>
      <w:marTop w:val="0"/>
      <w:marBottom w:val="0"/>
      <w:divBdr>
        <w:top w:val="none" w:sz="0" w:space="0" w:color="auto"/>
        <w:left w:val="none" w:sz="0" w:space="0" w:color="auto"/>
        <w:bottom w:val="none" w:sz="0" w:space="0" w:color="auto"/>
        <w:right w:val="none" w:sz="0" w:space="0" w:color="auto"/>
      </w:divBdr>
      <w:divsChild>
        <w:div w:id="1941253712">
          <w:marLeft w:val="0"/>
          <w:marRight w:val="0"/>
          <w:marTop w:val="0"/>
          <w:marBottom w:val="0"/>
          <w:divBdr>
            <w:top w:val="none" w:sz="0" w:space="0" w:color="auto"/>
            <w:left w:val="none" w:sz="0" w:space="0" w:color="auto"/>
            <w:bottom w:val="none" w:sz="0" w:space="0" w:color="auto"/>
            <w:right w:val="none" w:sz="0" w:space="0" w:color="auto"/>
          </w:divBdr>
          <w:divsChild>
            <w:div w:id="1531802051">
              <w:marLeft w:val="0"/>
              <w:marRight w:val="0"/>
              <w:marTop w:val="0"/>
              <w:marBottom w:val="0"/>
              <w:divBdr>
                <w:top w:val="none" w:sz="0" w:space="0" w:color="auto"/>
                <w:left w:val="none" w:sz="0" w:space="0" w:color="auto"/>
                <w:bottom w:val="none" w:sz="0" w:space="0" w:color="auto"/>
                <w:right w:val="none" w:sz="0" w:space="0" w:color="auto"/>
              </w:divBdr>
            </w:div>
          </w:divsChild>
        </w:div>
        <w:div w:id="1224220949">
          <w:marLeft w:val="0"/>
          <w:marRight w:val="0"/>
          <w:marTop w:val="0"/>
          <w:marBottom w:val="0"/>
          <w:divBdr>
            <w:top w:val="none" w:sz="0" w:space="0" w:color="auto"/>
            <w:left w:val="none" w:sz="0" w:space="0" w:color="auto"/>
            <w:bottom w:val="none" w:sz="0" w:space="0" w:color="auto"/>
            <w:right w:val="none" w:sz="0" w:space="0" w:color="auto"/>
          </w:divBdr>
        </w:div>
      </w:divsChild>
    </w:div>
    <w:div w:id="707409372">
      <w:bodyDiv w:val="1"/>
      <w:marLeft w:val="0"/>
      <w:marRight w:val="0"/>
      <w:marTop w:val="0"/>
      <w:marBottom w:val="0"/>
      <w:divBdr>
        <w:top w:val="none" w:sz="0" w:space="0" w:color="auto"/>
        <w:left w:val="none" w:sz="0" w:space="0" w:color="auto"/>
        <w:bottom w:val="none" w:sz="0" w:space="0" w:color="auto"/>
        <w:right w:val="none" w:sz="0" w:space="0" w:color="auto"/>
      </w:divBdr>
    </w:div>
    <w:div w:id="764424436">
      <w:bodyDiv w:val="1"/>
      <w:marLeft w:val="0"/>
      <w:marRight w:val="0"/>
      <w:marTop w:val="0"/>
      <w:marBottom w:val="0"/>
      <w:divBdr>
        <w:top w:val="none" w:sz="0" w:space="0" w:color="auto"/>
        <w:left w:val="none" w:sz="0" w:space="0" w:color="auto"/>
        <w:bottom w:val="none" w:sz="0" w:space="0" w:color="auto"/>
        <w:right w:val="none" w:sz="0" w:space="0" w:color="auto"/>
      </w:divBdr>
      <w:divsChild>
        <w:div w:id="2049835579">
          <w:marLeft w:val="0"/>
          <w:marRight w:val="0"/>
          <w:marTop w:val="0"/>
          <w:marBottom w:val="0"/>
          <w:divBdr>
            <w:top w:val="none" w:sz="0" w:space="0" w:color="auto"/>
            <w:left w:val="none" w:sz="0" w:space="0" w:color="auto"/>
            <w:bottom w:val="none" w:sz="0" w:space="0" w:color="auto"/>
            <w:right w:val="none" w:sz="0" w:space="0" w:color="auto"/>
          </w:divBdr>
          <w:divsChild>
            <w:div w:id="410811030">
              <w:marLeft w:val="0"/>
              <w:marRight w:val="0"/>
              <w:marTop w:val="0"/>
              <w:marBottom w:val="0"/>
              <w:divBdr>
                <w:top w:val="none" w:sz="0" w:space="0" w:color="auto"/>
                <w:left w:val="none" w:sz="0" w:space="0" w:color="auto"/>
                <w:bottom w:val="none" w:sz="0" w:space="0" w:color="auto"/>
                <w:right w:val="none" w:sz="0" w:space="0" w:color="auto"/>
              </w:divBdr>
            </w:div>
          </w:divsChild>
        </w:div>
        <w:div w:id="398093938">
          <w:marLeft w:val="0"/>
          <w:marRight w:val="0"/>
          <w:marTop w:val="0"/>
          <w:marBottom w:val="0"/>
          <w:divBdr>
            <w:top w:val="none" w:sz="0" w:space="0" w:color="auto"/>
            <w:left w:val="none" w:sz="0" w:space="0" w:color="auto"/>
            <w:bottom w:val="none" w:sz="0" w:space="0" w:color="auto"/>
            <w:right w:val="none" w:sz="0" w:space="0" w:color="auto"/>
          </w:divBdr>
        </w:div>
      </w:divsChild>
    </w:div>
    <w:div w:id="764619931">
      <w:bodyDiv w:val="1"/>
      <w:marLeft w:val="0"/>
      <w:marRight w:val="0"/>
      <w:marTop w:val="0"/>
      <w:marBottom w:val="0"/>
      <w:divBdr>
        <w:top w:val="none" w:sz="0" w:space="0" w:color="auto"/>
        <w:left w:val="none" w:sz="0" w:space="0" w:color="auto"/>
        <w:bottom w:val="none" w:sz="0" w:space="0" w:color="auto"/>
        <w:right w:val="none" w:sz="0" w:space="0" w:color="auto"/>
      </w:divBdr>
      <w:divsChild>
        <w:div w:id="456415512">
          <w:marLeft w:val="0"/>
          <w:marRight w:val="0"/>
          <w:marTop w:val="0"/>
          <w:marBottom w:val="0"/>
          <w:divBdr>
            <w:top w:val="none" w:sz="0" w:space="0" w:color="auto"/>
            <w:left w:val="none" w:sz="0" w:space="0" w:color="auto"/>
            <w:bottom w:val="none" w:sz="0" w:space="0" w:color="auto"/>
            <w:right w:val="none" w:sz="0" w:space="0" w:color="auto"/>
          </w:divBdr>
          <w:divsChild>
            <w:div w:id="2083332132">
              <w:marLeft w:val="0"/>
              <w:marRight w:val="0"/>
              <w:marTop w:val="0"/>
              <w:marBottom w:val="0"/>
              <w:divBdr>
                <w:top w:val="none" w:sz="0" w:space="0" w:color="auto"/>
                <w:left w:val="none" w:sz="0" w:space="0" w:color="auto"/>
                <w:bottom w:val="none" w:sz="0" w:space="0" w:color="auto"/>
                <w:right w:val="none" w:sz="0" w:space="0" w:color="auto"/>
              </w:divBdr>
            </w:div>
          </w:divsChild>
        </w:div>
        <w:div w:id="125513712">
          <w:marLeft w:val="0"/>
          <w:marRight w:val="0"/>
          <w:marTop w:val="0"/>
          <w:marBottom w:val="0"/>
          <w:divBdr>
            <w:top w:val="none" w:sz="0" w:space="0" w:color="auto"/>
            <w:left w:val="none" w:sz="0" w:space="0" w:color="auto"/>
            <w:bottom w:val="none" w:sz="0" w:space="0" w:color="auto"/>
            <w:right w:val="none" w:sz="0" w:space="0" w:color="auto"/>
          </w:divBdr>
        </w:div>
      </w:divsChild>
    </w:div>
    <w:div w:id="775440015">
      <w:bodyDiv w:val="1"/>
      <w:marLeft w:val="0"/>
      <w:marRight w:val="0"/>
      <w:marTop w:val="0"/>
      <w:marBottom w:val="0"/>
      <w:divBdr>
        <w:top w:val="none" w:sz="0" w:space="0" w:color="auto"/>
        <w:left w:val="none" w:sz="0" w:space="0" w:color="auto"/>
        <w:bottom w:val="none" w:sz="0" w:space="0" w:color="auto"/>
        <w:right w:val="none" w:sz="0" w:space="0" w:color="auto"/>
      </w:divBdr>
      <w:divsChild>
        <w:div w:id="304362068">
          <w:marLeft w:val="0"/>
          <w:marRight w:val="0"/>
          <w:marTop w:val="0"/>
          <w:marBottom w:val="0"/>
          <w:divBdr>
            <w:top w:val="none" w:sz="0" w:space="0" w:color="auto"/>
            <w:left w:val="none" w:sz="0" w:space="0" w:color="auto"/>
            <w:bottom w:val="none" w:sz="0" w:space="0" w:color="auto"/>
            <w:right w:val="none" w:sz="0" w:space="0" w:color="auto"/>
          </w:divBdr>
          <w:divsChild>
            <w:div w:id="864976618">
              <w:marLeft w:val="0"/>
              <w:marRight w:val="0"/>
              <w:marTop w:val="0"/>
              <w:marBottom w:val="0"/>
              <w:divBdr>
                <w:top w:val="none" w:sz="0" w:space="0" w:color="auto"/>
                <w:left w:val="none" w:sz="0" w:space="0" w:color="auto"/>
                <w:bottom w:val="none" w:sz="0" w:space="0" w:color="auto"/>
                <w:right w:val="none" w:sz="0" w:space="0" w:color="auto"/>
              </w:divBdr>
            </w:div>
          </w:divsChild>
        </w:div>
        <w:div w:id="1346397436">
          <w:marLeft w:val="0"/>
          <w:marRight w:val="0"/>
          <w:marTop w:val="0"/>
          <w:marBottom w:val="0"/>
          <w:divBdr>
            <w:top w:val="none" w:sz="0" w:space="0" w:color="auto"/>
            <w:left w:val="none" w:sz="0" w:space="0" w:color="auto"/>
            <w:bottom w:val="none" w:sz="0" w:space="0" w:color="auto"/>
            <w:right w:val="none" w:sz="0" w:space="0" w:color="auto"/>
          </w:divBdr>
        </w:div>
      </w:divsChild>
    </w:div>
    <w:div w:id="910121918">
      <w:bodyDiv w:val="1"/>
      <w:marLeft w:val="0"/>
      <w:marRight w:val="0"/>
      <w:marTop w:val="0"/>
      <w:marBottom w:val="0"/>
      <w:divBdr>
        <w:top w:val="none" w:sz="0" w:space="0" w:color="auto"/>
        <w:left w:val="none" w:sz="0" w:space="0" w:color="auto"/>
        <w:bottom w:val="none" w:sz="0" w:space="0" w:color="auto"/>
        <w:right w:val="none" w:sz="0" w:space="0" w:color="auto"/>
      </w:divBdr>
    </w:div>
    <w:div w:id="925917116">
      <w:bodyDiv w:val="1"/>
      <w:marLeft w:val="0"/>
      <w:marRight w:val="0"/>
      <w:marTop w:val="0"/>
      <w:marBottom w:val="0"/>
      <w:divBdr>
        <w:top w:val="none" w:sz="0" w:space="0" w:color="auto"/>
        <w:left w:val="none" w:sz="0" w:space="0" w:color="auto"/>
        <w:bottom w:val="none" w:sz="0" w:space="0" w:color="auto"/>
        <w:right w:val="none" w:sz="0" w:space="0" w:color="auto"/>
      </w:divBdr>
      <w:divsChild>
        <w:div w:id="1808433023">
          <w:marLeft w:val="0"/>
          <w:marRight w:val="0"/>
          <w:marTop w:val="0"/>
          <w:marBottom w:val="0"/>
          <w:divBdr>
            <w:top w:val="none" w:sz="0" w:space="0" w:color="auto"/>
            <w:left w:val="none" w:sz="0" w:space="0" w:color="auto"/>
            <w:bottom w:val="none" w:sz="0" w:space="0" w:color="auto"/>
            <w:right w:val="none" w:sz="0" w:space="0" w:color="auto"/>
          </w:divBdr>
          <w:divsChild>
            <w:div w:id="1596551439">
              <w:marLeft w:val="0"/>
              <w:marRight w:val="0"/>
              <w:marTop w:val="0"/>
              <w:marBottom w:val="0"/>
              <w:divBdr>
                <w:top w:val="none" w:sz="0" w:space="0" w:color="auto"/>
                <w:left w:val="none" w:sz="0" w:space="0" w:color="auto"/>
                <w:bottom w:val="none" w:sz="0" w:space="0" w:color="auto"/>
                <w:right w:val="none" w:sz="0" w:space="0" w:color="auto"/>
              </w:divBdr>
            </w:div>
          </w:divsChild>
        </w:div>
        <w:div w:id="1395080938">
          <w:marLeft w:val="0"/>
          <w:marRight w:val="0"/>
          <w:marTop w:val="0"/>
          <w:marBottom w:val="0"/>
          <w:divBdr>
            <w:top w:val="none" w:sz="0" w:space="0" w:color="auto"/>
            <w:left w:val="none" w:sz="0" w:space="0" w:color="auto"/>
            <w:bottom w:val="none" w:sz="0" w:space="0" w:color="auto"/>
            <w:right w:val="none" w:sz="0" w:space="0" w:color="auto"/>
          </w:divBdr>
        </w:div>
      </w:divsChild>
    </w:div>
    <w:div w:id="955328241">
      <w:bodyDiv w:val="1"/>
      <w:marLeft w:val="0"/>
      <w:marRight w:val="0"/>
      <w:marTop w:val="0"/>
      <w:marBottom w:val="0"/>
      <w:divBdr>
        <w:top w:val="none" w:sz="0" w:space="0" w:color="auto"/>
        <w:left w:val="none" w:sz="0" w:space="0" w:color="auto"/>
        <w:bottom w:val="none" w:sz="0" w:space="0" w:color="auto"/>
        <w:right w:val="none" w:sz="0" w:space="0" w:color="auto"/>
      </w:divBdr>
    </w:div>
    <w:div w:id="1017388122">
      <w:bodyDiv w:val="1"/>
      <w:marLeft w:val="0"/>
      <w:marRight w:val="0"/>
      <w:marTop w:val="0"/>
      <w:marBottom w:val="0"/>
      <w:divBdr>
        <w:top w:val="none" w:sz="0" w:space="0" w:color="auto"/>
        <w:left w:val="none" w:sz="0" w:space="0" w:color="auto"/>
        <w:bottom w:val="none" w:sz="0" w:space="0" w:color="auto"/>
        <w:right w:val="none" w:sz="0" w:space="0" w:color="auto"/>
      </w:divBdr>
    </w:div>
    <w:div w:id="1095858766">
      <w:bodyDiv w:val="1"/>
      <w:marLeft w:val="0"/>
      <w:marRight w:val="0"/>
      <w:marTop w:val="0"/>
      <w:marBottom w:val="0"/>
      <w:divBdr>
        <w:top w:val="none" w:sz="0" w:space="0" w:color="auto"/>
        <w:left w:val="none" w:sz="0" w:space="0" w:color="auto"/>
        <w:bottom w:val="none" w:sz="0" w:space="0" w:color="auto"/>
        <w:right w:val="none" w:sz="0" w:space="0" w:color="auto"/>
      </w:divBdr>
      <w:divsChild>
        <w:div w:id="947392651">
          <w:marLeft w:val="0"/>
          <w:marRight w:val="0"/>
          <w:marTop w:val="0"/>
          <w:marBottom w:val="0"/>
          <w:divBdr>
            <w:top w:val="none" w:sz="0" w:space="0" w:color="auto"/>
            <w:left w:val="none" w:sz="0" w:space="0" w:color="auto"/>
            <w:bottom w:val="none" w:sz="0" w:space="0" w:color="auto"/>
            <w:right w:val="none" w:sz="0" w:space="0" w:color="auto"/>
          </w:divBdr>
          <w:divsChild>
            <w:div w:id="693271482">
              <w:marLeft w:val="0"/>
              <w:marRight w:val="0"/>
              <w:marTop w:val="0"/>
              <w:marBottom w:val="0"/>
              <w:divBdr>
                <w:top w:val="none" w:sz="0" w:space="0" w:color="auto"/>
                <w:left w:val="none" w:sz="0" w:space="0" w:color="auto"/>
                <w:bottom w:val="none" w:sz="0" w:space="0" w:color="auto"/>
                <w:right w:val="none" w:sz="0" w:space="0" w:color="auto"/>
              </w:divBdr>
            </w:div>
          </w:divsChild>
        </w:div>
        <w:div w:id="634872851">
          <w:marLeft w:val="0"/>
          <w:marRight w:val="0"/>
          <w:marTop w:val="0"/>
          <w:marBottom w:val="0"/>
          <w:divBdr>
            <w:top w:val="none" w:sz="0" w:space="0" w:color="auto"/>
            <w:left w:val="none" w:sz="0" w:space="0" w:color="auto"/>
            <w:bottom w:val="none" w:sz="0" w:space="0" w:color="auto"/>
            <w:right w:val="none" w:sz="0" w:space="0" w:color="auto"/>
          </w:divBdr>
        </w:div>
      </w:divsChild>
    </w:div>
    <w:div w:id="1425302401">
      <w:bodyDiv w:val="1"/>
      <w:marLeft w:val="0"/>
      <w:marRight w:val="0"/>
      <w:marTop w:val="0"/>
      <w:marBottom w:val="0"/>
      <w:divBdr>
        <w:top w:val="none" w:sz="0" w:space="0" w:color="auto"/>
        <w:left w:val="none" w:sz="0" w:space="0" w:color="auto"/>
        <w:bottom w:val="none" w:sz="0" w:space="0" w:color="auto"/>
        <w:right w:val="none" w:sz="0" w:space="0" w:color="auto"/>
      </w:divBdr>
      <w:divsChild>
        <w:div w:id="357972845">
          <w:marLeft w:val="0"/>
          <w:marRight w:val="0"/>
          <w:marTop w:val="0"/>
          <w:marBottom w:val="0"/>
          <w:divBdr>
            <w:top w:val="none" w:sz="0" w:space="0" w:color="auto"/>
            <w:left w:val="none" w:sz="0" w:space="0" w:color="auto"/>
            <w:bottom w:val="none" w:sz="0" w:space="0" w:color="auto"/>
            <w:right w:val="none" w:sz="0" w:space="0" w:color="auto"/>
          </w:divBdr>
        </w:div>
      </w:divsChild>
    </w:div>
    <w:div w:id="1456171230">
      <w:bodyDiv w:val="1"/>
      <w:marLeft w:val="0"/>
      <w:marRight w:val="0"/>
      <w:marTop w:val="0"/>
      <w:marBottom w:val="0"/>
      <w:divBdr>
        <w:top w:val="none" w:sz="0" w:space="0" w:color="auto"/>
        <w:left w:val="none" w:sz="0" w:space="0" w:color="auto"/>
        <w:bottom w:val="none" w:sz="0" w:space="0" w:color="auto"/>
        <w:right w:val="none" w:sz="0" w:space="0" w:color="auto"/>
      </w:divBdr>
    </w:div>
    <w:div w:id="1461345193">
      <w:bodyDiv w:val="1"/>
      <w:marLeft w:val="0"/>
      <w:marRight w:val="0"/>
      <w:marTop w:val="0"/>
      <w:marBottom w:val="0"/>
      <w:divBdr>
        <w:top w:val="none" w:sz="0" w:space="0" w:color="auto"/>
        <w:left w:val="none" w:sz="0" w:space="0" w:color="auto"/>
        <w:bottom w:val="none" w:sz="0" w:space="0" w:color="auto"/>
        <w:right w:val="none" w:sz="0" w:space="0" w:color="auto"/>
      </w:divBdr>
    </w:div>
    <w:div w:id="1541674368">
      <w:bodyDiv w:val="1"/>
      <w:marLeft w:val="0"/>
      <w:marRight w:val="0"/>
      <w:marTop w:val="0"/>
      <w:marBottom w:val="0"/>
      <w:divBdr>
        <w:top w:val="none" w:sz="0" w:space="0" w:color="auto"/>
        <w:left w:val="none" w:sz="0" w:space="0" w:color="auto"/>
        <w:bottom w:val="none" w:sz="0" w:space="0" w:color="auto"/>
        <w:right w:val="none" w:sz="0" w:space="0" w:color="auto"/>
      </w:divBdr>
      <w:divsChild>
        <w:div w:id="1745639936">
          <w:marLeft w:val="0"/>
          <w:marRight w:val="0"/>
          <w:marTop w:val="0"/>
          <w:marBottom w:val="0"/>
          <w:divBdr>
            <w:top w:val="none" w:sz="0" w:space="0" w:color="auto"/>
            <w:left w:val="none" w:sz="0" w:space="0" w:color="auto"/>
            <w:bottom w:val="none" w:sz="0" w:space="0" w:color="auto"/>
            <w:right w:val="none" w:sz="0" w:space="0" w:color="auto"/>
          </w:divBdr>
          <w:divsChild>
            <w:div w:id="1067611640">
              <w:marLeft w:val="0"/>
              <w:marRight w:val="0"/>
              <w:marTop w:val="0"/>
              <w:marBottom w:val="0"/>
              <w:divBdr>
                <w:top w:val="none" w:sz="0" w:space="0" w:color="auto"/>
                <w:left w:val="none" w:sz="0" w:space="0" w:color="auto"/>
                <w:bottom w:val="none" w:sz="0" w:space="0" w:color="auto"/>
                <w:right w:val="none" w:sz="0" w:space="0" w:color="auto"/>
              </w:divBdr>
            </w:div>
          </w:divsChild>
        </w:div>
        <w:div w:id="1716344694">
          <w:marLeft w:val="0"/>
          <w:marRight w:val="0"/>
          <w:marTop w:val="0"/>
          <w:marBottom w:val="0"/>
          <w:divBdr>
            <w:top w:val="none" w:sz="0" w:space="0" w:color="auto"/>
            <w:left w:val="none" w:sz="0" w:space="0" w:color="auto"/>
            <w:bottom w:val="none" w:sz="0" w:space="0" w:color="auto"/>
            <w:right w:val="none" w:sz="0" w:space="0" w:color="auto"/>
          </w:divBdr>
        </w:div>
      </w:divsChild>
    </w:div>
    <w:div w:id="1542085132">
      <w:bodyDiv w:val="1"/>
      <w:marLeft w:val="0"/>
      <w:marRight w:val="0"/>
      <w:marTop w:val="0"/>
      <w:marBottom w:val="0"/>
      <w:divBdr>
        <w:top w:val="none" w:sz="0" w:space="0" w:color="auto"/>
        <w:left w:val="none" w:sz="0" w:space="0" w:color="auto"/>
        <w:bottom w:val="none" w:sz="0" w:space="0" w:color="auto"/>
        <w:right w:val="none" w:sz="0" w:space="0" w:color="auto"/>
      </w:divBdr>
    </w:div>
    <w:div w:id="1552229653">
      <w:bodyDiv w:val="1"/>
      <w:marLeft w:val="0"/>
      <w:marRight w:val="0"/>
      <w:marTop w:val="0"/>
      <w:marBottom w:val="0"/>
      <w:divBdr>
        <w:top w:val="none" w:sz="0" w:space="0" w:color="auto"/>
        <w:left w:val="none" w:sz="0" w:space="0" w:color="auto"/>
        <w:bottom w:val="none" w:sz="0" w:space="0" w:color="auto"/>
        <w:right w:val="none" w:sz="0" w:space="0" w:color="auto"/>
      </w:divBdr>
      <w:divsChild>
        <w:div w:id="194002550">
          <w:marLeft w:val="0"/>
          <w:marRight w:val="0"/>
          <w:marTop w:val="0"/>
          <w:marBottom w:val="0"/>
          <w:divBdr>
            <w:top w:val="none" w:sz="0" w:space="0" w:color="auto"/>
            <w:left w:val="none" w:sz="0" w:space="0" w:color="auto"/>
            <w:bottom w:val="none" w:sz="0" w:space="0" w:color="auto"/>
            <w:right w:val="none" w:sz="0" w:space="0" w:color="auto"/>
          </w:divBdr>
          <w:divsChild>
            <w:div w:id="1362434250">
              <w:marLeft w:val="0"/>
              <w:marRight w:val="0"/>
              <w:marTop w:val="0"/>
              <w:marBottom w:val="0"/>
              <w:divBdr>
                <w:top w:val="none" w:sz="0" w:space="0" w:color="auto"/>
                <w:left w:val="none" w:sz="0" w:space="0" w:color="auto"/>
                <w:bottom w:val="none" w:sz="0" w:space="0" w:color="auto"/>
                <w:right w:val="none" w:sz="0" w:space="0" w:color="auto"/>
              </w:divBdr>
            </w:div>
          </w:divsChild>
        </w:div>
        <w:div w:id="1609853621">
          <w:marLeft w:val="0"/>
          <w:marRight w:val="0"/>
          <w:marTop w:val="0"/>
          <w:marBottom w:val="0"/>
          <w:divBdr>
            <w:top w:val="none" w:sz="0" w:space="0" w:color="auto"/>
            <w:left w:val="none" w:sz="0" w:space="0" w:color="auto"/>
            <w:bottom w:val="none" w:sz="0" w:space="0" w:color="auto"/>
            <w:right w:val="none" w:sz="0" w:space="0" w:color="auto"/>
          </w:divBdr>
        </w:div>
      </w:divsChild>
    </w:div>
    <w:div w:id="1707832870">
      <w:bodyDiv w:val="1"/>
      <w:marLeft w:val="0"/>
      <w:marRight w:val="0"/>
      <w:marTop w:val="0"/>
      <w:marBottom w:val="0"/>
      <w:divBdr>
        <w:top w:val="none" w:sz="0" w:space="0" w:color="auto"/>
        <w:left w:val="none" w:sz="0" w:space="0" w:color="auto"/>
        <w:bottom w:val="none" w:sz="0" w:space="0" w:color="auto"/>
        <w:right w:val="none" w:sz="0" w:space="0" w:color="auto"/>
      </w:divBdr>
      <w:divsChild>
        <w:div w:id="131600771">
          <w:marLeft w:val="0"/>
          <w:marRight w:val="0"/>
          <w:marTop w:val="0"/>
          <w:marBottom w:val="0"/>
          <w:divBdr>
            <w:top w:val="none" w:sz="0" w:space="0" w:color="auto"/>
            <w:left w:val="none" w:sz="0" w:space="0" w:color="auto"/>
            <w:bottom w:val="none" w:sz="0" w:space="0" w:color="auto"/>
            <w:right w:val="none" w:sz="0" w:space="0" w:color="auto"/>
          </w:divBdr>
        </w:div>
      </w:divsChild>
    </w:div>
    <w:div w:id="1803040623">
      <w:bodyDiv w:val="1"/>
      <w:marLeft w:val="0"/>
      <w:marRight w:val="0"/>
      <w:marTop w:val="0"/>
      <w:marBottom w:val="0"/>
      <w:divBdr>
        <w:top w:val="none" w:sz="0" w:space="0" w:color="auto"/>
        <w:left w:val="none" w:sz="0" w:space="0" w:color="auto"/>
        <w:bottom w:val="none" w:sz="0" w:space="0" w:color="auto"/>
        <w:right w:val="none" w:sz="0" w:space="0" w:color="auto"/>
      </w:divBdr>
      <w:divsChild>
        <w:div w:id="1617130405">
          <w:marLeft w:val="0"/>
          <w:marRight w:val="0"/>
          <w:marTop w:val="0"/>
          <w:marBottom w:val="0"/>
          <w:divBdr>
            <w:top w:val="none" w:sz="0" w:space="0" w:color="auto"/>
            <w:left w:val="none" w:sz="0" w:space="0" w:color="auto"/>
            <w:bottom w:val="none" w:sz="0" w:space="0" w:color="auto"/>
            <w:right w:val="none" w:sz="0" w:space="0" w:color="auto"/>
          </w:divBdr>
          <w:divsChild>
            <w:div w:id="1478840858">
              <w:marLeft w:val="0"/>
              <w:marRight w:val="0"/>
              <w:marTop w:val="0"/>
              <w:marBottom w:val="0"/>
              <w:divBdr>
                <w:top w:val="none" w:sz="0" w:space="0" w:color="auto"/>
                <w:left w:val="none" w:sz="0" w:space="0" w:color="auto"/>
                <w:bottom w:val="none" w:sz="0" w:space="0" w:color="auto"/>
                <w:right w:val="none" w:sz="0" w:space="0" w:color="auto"/>
              </w:divBdr>
            </w:div>
          </w:divsChild>
        </w:div>
        <w:div w:id="1001857329">
          <w:marLeft w:val="0"/>
          <w:marRight w:val="0"/>
          <w:marTop w:val="0"/>
          <w:marBottom w:val="0"/>
          <w:divBdr>
            <w:top w:val="none" w:sz="0" w:space="0" w:color="auto"/>
            <w:left w:val="none" w:sz="0" w:space="0" w:color="auto"/>
            <w:bottom w:val="none" w:sz="0" w:space="0" w:color="auto"/>
            <w:right w:val="none" w:sz="0" w:space="0" w:color="auto"/>
          </w:divBdr>
        </w:div>
      </w:divsChild>
    </w:div>
    <w:div w:id="1811172237">
      <w:bodyDiv w:val="1"/>
      <w:marLeft w:val="0"/>
      <w:marRight w:val="0"/>
      <w:marTop w:val="0"/>
      <w:marBottom w:val="0"/>
      <w:divBdr>
        <w:top w:val="none" w:sz="0" w:space="0" w:color="auto"/>
        <w:left w:val="none" w:sz="0" w:space="0" w:color="auto"/>
        <w:bottom w:val="none" w:sz="0" w:space="0" w:color="auto"/>
        <w:right w:val="none" w:sz="0" w:space="0" w:color="auto"/>
      </w:divBdr>
      <w:divsChild>
        <w:div w:id="1531071019">
          <w:marLeft w:val="0"/>
          <w:marRight w:val="0"/>
          <w:marTop w:val="0"/>
          <w:marBottom w:val="0"/>
          <w:divBdr>
            <w:top w:val="none" w:sz="0" w:space="0" w:color="auto"/>
            <w:left w:val="none" w:sz="0" w:space="0" w:color="auto"/>
            <w:bottom w:val="none" w:sz="0" w:space="0" w:color="auto"/>
            <w:right w:val="none" w:sz="0" w:space="0" w:color="auto"/>
          </w:divBdr>
          <w:divsChild>
            <w:div w:id="1715499882">
              <w:marLeft w:val="0"/>
              <w:marRight w:val="0"/>
              <w:marTop w:val="0"/>
              <w:marBottom w:val="0"/>
              <w:divBdr>
                <w:top w:val="none" w:sz="0" w:space="0" w:color="auto"/>
                <w:left w:val="none" w:sz="0" w:space="0" w:color="auto"/>
                <w:bottom w:val="none" w:sz="0" w:space="0" w:color="auto"/>
                <w:right w:val="none" w:sz="0" w:space="0" w:color="auto"/>
              </w:divBdr>
            </w:div>
          </w:divsChild>
        </w:div>
        <w:div w:id="1791438147">
          <w:marLeft w:val="0"/>
          <w:marRight w:val="0"/>
          <w:marTop w:val="0"/>
          <w:marBottom w:val="0"/>
          <w:divBdr>
            <w:top w:val="none" w:sz="0" w:space="0" w:color="auto"/>
            <w:left w:val="none" w:sz="0" w:space="0" w:color="auto"/>
            <w:bottom w:val="none" w:sz="0" w:space="0" w:color="auto"/>
            <w:right w:val="none" w:sz="0" w:space="0" w:color="auto"/>
          </w:divBdr>
        </w:div>
      </w:divsChild>
    </w:div>
    <w:div w:id="1866285186">
      <w:bodyDiv w:val="1"/>
      <w:marLeft w:val="0"/>
      <w:marRight w:val="0"/>
      <w:marTop w:val="0"/>
      <w:marBottom w:val="0"/>
      <w:divBdr>
        <w:top w:val="none" w:sz="0" w:space="0" w:color="auto"/>
        <w:left w:val="none" w:sz="0" w:space="0" w:color="auto"/>
        <w:bottom w:val="none" w:sz="0" w:space="0" w:color="auto"/>
        <w:right w:val="none" w:sz="0" w:space="0" w:color="auto"/>
      </w:divBdr>
      <w:divsChild>
        <w:div w:id="2027167515">
          <w:marLeft w:val="0"/>
          <w:marRight w:val="0"/>
          <w:marTop w:val="0"/>
          <w:marBottom w:val="0"/>
          <w:divBdr>
            <w:top w:val="none" w:sz="0" w:space="0" w:color="auto"/>
            <w:left w:val="none" w:sz="0" w:space="0" w:color="auto"/>
            <w:bottom w:val="none" w:sz="0" w:space="0" w:color="auto"/>
            <w:right w:val="none" w:sz="0" w:space="0" w:color="auto"/>
          </w:divBdr>
          <w:divsChild>
            <w:div w:id="351885872">
              <w:marLeft w:val="0"/>
              <w:marRight w:val="0"/>
              <w:marTop w:val="0"/>
              <w:marBottom w:val="0"/>
              <w:divBdr>
                <w:top w:val="none" w:sz="0" w:space="0" w:color="auto"/>
                <w:left w:val="none" w:sz="0" w:space="0" w:color="auto"/>
                <w:bottom w:val="none" w:sz="0" w:space="0" w:color="auto"/>
                <w:right w:val="none" w:sz="0" w:space="0" w:color="auto"/>
              </w:divBdr>
            </w:div>
          </w:divsChild>
        </w:div>
        <w:div w:id="1340739905">
          <w:marLeft w:val="0"/>
          <w:marRight w:val="0"/>
          <w:marTop w:val="0"/>
          <w:marBottom w:val="0"/>
          <w:divBdr>
            <w:top w:val="none" w:sz="0" w:space="0" w:color="auto"/>
            <w:left w:val="none" w:sz="0" w:space="0" w:color="auto"/>
            <w:bottom w:val="none" w:sz="0" w:space="0" w:color="auto"/>
            <w:right w:val="none" w:sz="0" w:space="0" w:color="auto"/>
          </w:divBdr>
        </w:div>
      </w:divsChild>
    </w:div>
    <w:div w:id="1870022324">
      <w:bodyDiv w:val="1"/>
      <w:marLeft w:val="0"/>
      <w:marRight w:val="0"/>
      <w:marTop w:val="0"/>
      <w:marBottom w:val="0"/>
      <w:divBdr>
        <w:top w:val="none" w:sz="0" w:space="0" w:color="auto"/>
        <w:left w:val="none" w:sz="0" w:space="0" w:color="auto"/>
        <w:bottom w:val="none" w:sz="0" w:space="0" w:color="auto"/>
        <w:right w:val="none" w:sz="0" w:space="0" w:color="auto"/>
      </w:divBdr>
    </w:div>
    <w:div w:id="1902593182">
      <w:bodyDiv w:val="1"/>
      <w:marLeft w:val="0"/>
      <w:marRight w:val="0"/>
      <w:marTop w:val="0"/>
      <w:marBottom w:val="0"/>
      <w:divBdr>
        <w:top w:val="none" w:sz="0" w:space="0" w:color="auto"/>
        <w:left w:val="none" w:sz="0" w:space="0" w:color="auto"/>
        <w:bottom w:val="none" w:sz="0" w:space="0" w:color="auto"/>
        <w:right w:val="none" w:sz="0" w:space="0" w:color="auto"/>
      </w:divBdr>
      <w:divsChild>
        <w:div w:id="1655720349">
          <w:marLeft w:val="0"/>
          <w:marRight w:val="0"/>
          <w:marTop w:val="0"/>
          <w:marBottom w:val="0"/>
          <w:divBdr>
            <w:top w:val="none" w:sz="0" w:space="0" w:color="auto"/>
            <w:left w:val="none" w:sz="0" w:space="0" w:color="auto"/>
            <w:bottom w:val="none" w:sz="0" w:space="0" w:color="auto"/>
            <w:right w:val="none" w:sz="0" w:space="0" w:color="auto"/>
          </w:divBdr>
          <w:divsChild>
            <w:div w:id="1470242917">
              <w:marLeft w:val="0"/>
              <w:marRight w:val="0"/>
              <w:marTop w:val="0"/>
              <w:marBottom w:val="0"/>
              <w:divBdr>
                <w:top w:val="none" w:sz="0" w:space="0" w:color="auto"/>
                <w:left w:val="none" w:sz="0" w:space="0" w:color="auto"/>
                <w:bottom w:val="none" w:sz="0" w:space="0" w:color="auto"/>
                <w:right w:val="none" w:sz="0" w:space="0" w:color="auto"/>
              </w:divBdr>
            </w:div>
          </w:divsChild>
        </w:div>
        <w:div w:id="420953986">
          <w:marLeft w:val="0"/>
          <w:marRight w:val="0"/>
          <w:marTop w:val="0"/>
          <w:marBottom w:val="0"/>
          <w:divBdr>
            <w:top w:val="none" w:sz="0" w:space="0" w:color="auto"/>
            <w:left w:val="none" w:sz="0" w:space="0" w:color="auto"/>
            <w:bottom w:val="none" w:sz="0" w:space="0" w:color="auto"/>
            <w:right w:val="none" w:sz="0" w:space="0" w:color="auto"/>
          </w:divBdr>
        </w:div>
      </w:divsChild>
    </w:div>
    <w:div w:id="1950578891">
      <w:bodyDiv w:val="1"/>
      <w:marLeft w:val="0"/>
      <w:marRight w:val="0"/>
      <w:marTop w:val="0"/>
      <w:marBottom w:val="0"/>
      <w:divBdr>
        <w:top w:val="none" w:sz="0" w:space="0" w:color="auto"/>
        <w:left w:val="none" w:sz="0" w:space="0" w:color="auto"/>
        <w:bottom w:val="none" w:sz="0" w:space="0" w:color="auto"/>
        <w:right w:val="none" w:sz="0" w:space="0" w:color="auto"/>
      </w:divBdr>
      <w:divsChild>
        <w:div w:id="192810382">
          <w:marLeft w:val="0"/>
          <w:marRight w:val="0"/>
          <w:marTop w:val="0"/>
          <w:marBottom w:val="0"/>
          <w:divBdr>
            <w:top w:val="none" w:sz="0" w:space="0" w:color="auto"/>
            <w:left w:val="none" w:sz="0" w:space="0" w:color="auto"/>
            <w:bottom w:val="none" w:sz="0" w:space="0" w:color="auto"/>
            <w:right w:val="none" w:sz="0" w:space="0" w:color="auto"/>
          </w:divBdr>
          <w:divsChild>
            <w:div w:id="1523589716">
              <w:marLeft w:val="0"/>
              <w:marRight w:val="0"/>
              <w:marTop w:val="0"/>
              <w:marBottom w:val="0"/>
              <w:divBdr>
                <w:top w:val="none" w:sz="0" w:space="0" w:color="auto"/>
                <w:left w:val="none" w:sz="0" w:space="0" w:color="auto"/>
                <w:bottom w:val="none" w:sz="0" w:space="0" w:color="auto"/>
                <w:right w:val="none" w:sz="0" w:space="0" w:color="auto"/>
              </w:divBdr>
            </w:div>
          </w:divsChild>
        </w:div>
        <w:div w:id="453406911">
          <w:marLeft w:val="0"/>
          <w:marRight w:val="0"/>
          <w:marTop w:val="0"/>
          <w:marBottom w:val="0"/>
          <w:divBdr>
            <w:top w:val="none" w:sz="0" w:space="0" w:color="auto"/>
            <w:left w:val="none" w:sz="0" w:space="0" w:color="auto"/>
            <w:bottom w:val="none" w:sz="0" w:space="0" w:color="auto"/>
            <w:right w:val="none" w:sz="0" w:space="0" w:color="auto"/>
          </w:divBdr>
        </w:div>
      </w:divsChild>
    </w:div>
    <w:div w:id="1976986111">
      <w:bodyDiv w:val="1"/>
      <w:marLeft w:val="0"/>
      <w:marRight w:val="0"/>
      <w:marTop w:val="0"/>
      <w:marBottom w:val="0"/>
      <w:divBdr>
        <w:top w:val="none" w:sz="0" w:space="0" w:color="auto"/>
        <w:left w:val="none" w:sz="0" w:space="0" w:color="auto"/>
        <w:bottom w:val="none" w:sz="0" w:space="0" w:color="auto"/>
        <w:right w:val="none" w:sz="0" w:space="0" w:color="auto"/>
      </w:divBdr>
    </w:div>
    <w:div w:id="2028485385">
      <w:bodyDiv w:val="1"/>
      <w:marLeft w:val="0"/>
      <w:marRight w:val="0"/>
      <w:marTop w:val="0"/>
      <w:marBottom w:val="0"/>
      <w:divBdr>
        <w:top w:val="none" w:sz="0" w:space="0" w:color="auto"/>
        <w:left w:val="none" w:sz="0" w:space="0" w:color="auto"/>
        <w:bottom w:val="none" w:sz="0" w:space="0" w:color="auto"/>
        <w:right w:val="none" w:sz="0" w:space="0" w:color="auto"/>
      </w:divBdr>
      <w:divsChild>
        <w:div w:id="2008097313">
          <w:marLeft w:val="0"/>
          <w:marRight w:val="0"/>
          <w:marTop w:val="0"/>
          <w:marBottom w:val="0"/>
          <w:divBdr>
            <w:top w:val="none" w:sz="0" w:space="0" w:color="auto"/>
            <w:left w:val="none" w:sz="0" w:space="0" w:color="auto"/>
            <w:bottom w:val="none" w:sz="0" w:space="0" w:color="auto"/>
            <w:right w:val="none" w:sz="0" w:space="0" w:color="auto"/>
          </w:divBdr>
          <w:divsChild>
            <w:div w:id="1503861618">
              <w:marLeft w:val="0"/>
              <w:marRight w:val="0"/>
              <w:marTop w:val="0"/>
              <w:marBottom w:val="0"/>
              <w:divBdr>
                <w:top w:val="none" w:sz="0" w:space="0" w:color="auto"/>
                <w:left w:val="none" w:sz="0" w:space="0" w:color="auto"/>
                <w:bottom w:val="none" w:sz="0" w:space="0" w:color="auto"/>
                <w:right w:val="none" w:sz="0" w:space="0" w:color="auto"/>
              </w:divBdr>
            </w:div>
          </w:divsChild>
        </w:div>
        <w:div w:id="1779637547">
          <w:marLeft w:val="0"/>
          <w:marRight w:val="0"/>
          <w:marTop w:val="0"/>
          <w:marBottom w:val="0"/>
          <w:divBdr>
            <w:top w:val="none" w:sz="0" w:space="0" w:color="auto"/>
            <w:left w:val="none" w:sz="0" w:space="0" w:color="auto"/>
            <w:bottom w:val="none" w:sz="0" w:space="0" w:color="auto"/>
            <w:right w:val="none" w:sz="0" w:space="0" w:color="auto"/>
          </w:divBdr>
        </w:div>
      </w:divsChild>
    </w:div>
    <w:div w:id="2126578781">
      <w:bodyDiv w:val="1"/>
      <w:marLeft w:val="0"/>
      <w:marRight w:val="0"/>
      <w:marTop w:val="0"/>
      <w:marBottom w:val="0"/>
      <w:divBdr>
        <w:top w:val="none" w:sz="0" w:space="0" w:color="auto"/>
        <w:left w:val="none" w:sz="0" w:space="0" w:color="auto"/>
        <w:bottom w:val="none" w:sz="0" w:space="0" w:color="auto"/>
        <w:right w:val="none" w:sz="0" w:space="0" w:color="auto"/>
      </w:divBdr>
      <w:divsChild>
        <w:div w:id="1819490801">
          <w:marLeft w:val="0"/>
          <w:marRight w:val="0"/>
          <w:marTop w:val="0"/>
          <w:marBottom w:val="0"/>
          <w:divBdr>
            <w:top w:val="none" w:sz="0" w:space="0" w:color="auto"/>
            <w:left w:val="none" w:sz="0" w:space="0" w:color="auto"/>
            <w:bottom w:val="none" w:sz="0" w:space="0" w:color="auto"/>
            <w:right w:val="none" w:sz="0" w:space="0" w:color="auto"/>
          </w:divBdr>
          <w:divsChild>
            <w:div w:id="1561746588">
              <w:marLeft w:val="0"/>
              <w:marRight w:val="0"/>
              <w:marTop w:val="0"/>
              <w:marBottom w:val="0"/>
              <w:divBdr>
                <w:top w:val="none" w:sz="0" w:space="0" w:color="auto"/>
                <w:left w:val="none" w:sz="0" w:space="0" w:color="auto"/>
                <w:bottom w:val="none" w:sz="0" w:space="0" w:color="auto"/>
                <w:right w:val="none" w:sz="0" w:space="0" w:color="auto"/>
              </w:divBdr>
            </w:div>
          </w:divsChild>
        </w:div>
        <w:div w:id="1532303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setext.com/case/estate-of-campbell-v-campbell?jxs=txrules%2Ctxsct%2Ctxapp%2Ctxappciv%2Ctxsecsrcs&amp;p=1&amp;q=Section+32.006+concerns+a+statutory+probate+court%27s+independent+jurisdiction&amp;sort=relevance&amp;type=case&amp;ssr=false&amp;scrollTo=true&amp;find=" TargetMode="External"/><Relationship Id="rId18" Type="http://schemas.openxmlformats.org/officeDocument/2006/relationships/hyperlink" Target="https://casetext.com/case/johnson-v-johnson-51278?jxs=txrules%2Ctxsct%2Ctxapp%2Ctxappciv%2Ctxsecsrcs&amp;p=1&amp;q=Section+32.006+concerns+a+statutory+probate+court%27s+independent+jurisdiction&amp;sort=relevance&amp;type=case&amp;ssr=false&amp;scrollTo=true&amp;find=" TargetMode="External"/><Relationship Id="rId26" Type="http://schemas.openxmlformats.org/officeDocument/2006/relationships/hyperlink" Target="https://casetext.com/case/reliant-energy-v-gonzalez?jxs=txrules%2Ctxsct%2Ctxapp%2Ctxappciv%2Ctxsecsrcs&amp;p=1&amp;q=Section+32.006+concerns+a+statutory+probate+court%27s+independent+jurisdiction&amp;sort=relevance&amp;type=case&amp;ssr=false&amp;scrollTo=true&amp;find=" TargetMode="External"/><Relationship Id="rId39" Type="http://schemas.openxmlformats.org/officeDocument/2006/relationships/hyperlink" Target="https://casetext.com/case/interfirst-bk-v-quintana-pet?jxs=5cir%2Ctx&amp;p=1&amp;q=The+exception+to+the+exclusive+jurisdiction+of+the+District+Court+provided+by+subsection+%C2%A7+115.001+%28d%29+is+limited+to+matters+%E2%80%9Cincident+to+an+estate%E2%80%9D+and+apply+only+when+a+probate+proceeding+relating+to+such+estate+is+actually+%E2%80%9Cpending%E2%80%9D+in+the+probate+court.&amp;sort=relevance&amp;type=case&amp;ssr=false&amp;scrollTo=true&amp;find=" TargetMode="External"/><Relationship Id="rId21" Type="http://schemas.openxmlformats.org/officeDocument/2006/relationships/hyperlink" Target="https://casetext.com/case/lee-v-ronald-e-lee-jr-katherine-lee-stacy-legacy-trust-co-1?jxs=txrules%2Ctxsct%2Ctxapp%2Ctxappciv%2Ctxsecsrcs&amp;p=1&amp;q=Section+32.006+concerns+a+statutory+probate+court%27s+independent+jurisdiction&amp;sort=relevance&amp;type=case&amp;ssr=false&amp;scrollTo=true&amp;find=" TargetMode="External"/><Relationship Id="rId34" Type="http://schemas.openxmlformats.org/officeDocument/2006/relationships/hyperlink" Target="https://casetext.com/case/herring-v-welborn?jxs=5cir%2Ctx&amp;p=1&amp;q=The+exception+to+the+exclusive+jurisdiction+of+the+District+Court+provided+by+subsection+%C2%A7+115.001+%28d%29+is+limited+to+matters+%E2%80%9Cincident+to+an+estate%E2%80%9D+and+apply+only+when+a+probate+proceeding+relating+to+such+estate+is+actually+%E2%80%9Cpending%E2%80%9D+in+the+probate+court.&amp;sort=relevance&amp;type=case&amp;ssr=false&amp;scrollTo=true&amp;find=" TargetMode="External"/><Relationship Id="rId42" Type="http://schemas.openxmlformats.org/officeDocument/2006/relationships/hyperlink" Target="https://casetext.com/case/wolford-v-wolford-1?jxs=5cir%2Ctx&amp;p=1&amp;q=The+exception+to+the+exclusive+jurisdiction+of+the+District+Court+provided+by+subsection+%C2%A7+115.001+%28d%29+is+limited+to+matters+%E2%80%9Cincident+to+an+estate%E2%80%9D+and+apply+only+when+a+probate+proceeding+relating+to+such+estate+is+actually+%E2%80%9Cpending%E2%80%9D+in+the+probate+court.&amp;sort=relevance&amp;type=case&amp;ssr=false&amp;scrollTo=true&amp;find=" TargetMode="External"/><Relationship Id="rId47" Type="http://schemas.openxmlformats.org/officeDocument/2006/relationships/hyperlink" Target="https://casetext.com/case/narvaez-v-darron-powell-darron-powell-pllc?jxs=txcode%2Ctxregs%2Ctxrules%2Ctxsct%2Ctxapp%2Ctxappciv%2Ctxsecsrcs&amp;p=1&amp;publishedCasesOnly=true&amp;q=pendent+jurisdiction&amp;sort=relevance&amp;type=case&amp;ssr=false&amp;scrollTo=true" TargetMode="External"/><Relationship Id="rId50" Type="http://schemas.openxmlformats.org/officeDocument/2006/relationships/hyperlink" Target="https://casetext.com/case/sabine-gas-trans-v-winnie-pl?jxs=txcode%2Ctxregs%2Ctxrules%2Ctxsct%2Ctxapp%2Ctxappciv%2Ctxsecsrcs&amp;p=1&amp;publishedCasesOnly=true&amp;q=pendent+jurisdiction&amp;sort=relevance&amp;type=case&amp;ssr=false&amp;scrollTo=true"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casetext.com/case/pense-v-bennett?jxs=txrules%2Ctxsct%2Ctxapp%2Ctxappciv%2Ctxsecsrcs&amp;p=1&amp;q=Section+32.006+concerns+a+statutory+probate+court%27s+independent+jurisdiction&amp;sort=relevance&amp;type=case&amp;ssr=false&amp;scrollTo=true&amp;find=" TargetMode="External"/><Relationship Id="rId29" Type="http://schemas.openxmlformats.org/officeDocument/2006/relationships/hyperlink" Target="https://casetext.com/case/goepp-v-comerica-bank-trust-na?jxs=5cir%2Ctx&amp;p=1&amp;q=The+exception+to+the+exclusive+jurisdiction+of+the+District+Court+provided+by+subsection+%C2%A7+115.001+%28d%29+is+limited+to+matters+%E2%80%9Cincident+to+an+estate%E2%80%9D+and+apply+only+when+a+probate+proceeding+relating+to+such+estate+is+actually+%E2%80%9Cpending%E2%80%9D+in+the+probate+court.&amp;sort=relevance&amp;type=case&amp;ssr=false&amp;scrollTo=true&amp;find=" TargetMode="External"/><Relationship Id="rId11" Type="http://schemas.openxmlformats.org/officeDocument/2006/relationships/hyperlink" Target="https://casetext.com/statute/texas-codes/government-code/title-2-judicial-branch/subtitle-a-courts/chapter-25-statutory-county-courts/subchapter-c-provisions-relating-to-particular-counties/section-251034-harris-county-probate-court-provisions" TargetMode="External"/><Relationship Id="rId24" Type="http://schemas.openxmlformats.org/officeDocument/2006/relationships/hyperlink" Target="https://casetext.com/case/davis-v-merriman-9?jxs=txrules%2Ctxsct%2Ctxapp%2Ctxappciv%2Ctxsecsrcs&amp;p=1&amp;q=Section+32.006+concerns+a+statutory+probate+court%27s+independent+jurisdiction&amp;sort=relevance&amp;type=case&amp;ssr=false&amp;scrollTo=true&amp;find=" TargetMode="External"/><Relationship Id="rId32" Type="http://schemas.openxmlformats.org/officeDocument/2006/relationships/hyperlink" Target="https://casetext.com/case/in-re-stark-6?jxs=5cir%2Ctx&amp;p=1&amp;q=The+exception+to+the+exclusive+jurisdiction+of+the+District+Court+provided+by+subsection+%C2%A7+115.001+%28d%29+is+limited+to+matters+%E2%80%9Cincident+to+an+estate%E2%80%9D+and+apply+only+when+a+probate+proceeding+relating+to+such+estate+is+actually+%E2%80%9Cpending%E2%80%9D+in+the+probate+court.&amp;sort=relevance&amp;type=case&amp;ssr=false&amp;scrollTo=true&amp;find=" TargetMode="External"/><Relationship Id="rId37" Type="http://schemas.openxmlformats.org/officeDocument/2006/relationships/hyperlink" Target="https://casetext.com/case/estate-of-hanau-in-re?jxs=5cir%2Ctx&amp;p=1&amp;q=The+exception+to+the+exclusive+jurisdiction+of+the+District+Court+provided+by+subsection+%C2%A7+115.001+%28d%29+is+limited+to+matters+%E2%80%9Cincident+to+an+estate%E2%80%9D+and+apply+only+when+a+probate+proceeding+relating+to+such+estate+is+actually+%E2%80%9Cpending%E2%80%9D+in+the+probate+court.&amp;sort=relevance&amp;type=case&amp;ssr=false&amp;scrollTo=true&amp;find=" TargetMode="External"/><Relationship Id="rId40" Type="http://schemas.openxmlformats.org/officeDocument/2006/relationships/hyperlink" Target="https://casetext.com/case/pullen-v-swanson?jxs=5cir%2Ctx&amp;p=1&amp;q=The+exception+to+the+exclusive+jurisdiction+of+the+District+Court+provided+by+subsection+%C2%A7+115.001+%28d%29+is+limited+to+matters+%E2%80%9Cincident+to+an+estate%E2%80%9D+and+apply+only+when+a+probate+proceeding+relating+to+such+estate+is+actually+%E2%80%9Cpending%E2%80%9D+in+the+probate+court.&amp;sort=relevance&amp;type=case&amp;ssr=false&amp;scrollTo=true&amp;find=" TargetMode="External"/><Relationship Id="rId45" Type="http://schemas.openxmlformats.org/officeDocument/2006/relationships/hyperlink" Target="https://casetext.com/case/in-re-stavron?jxs=txcode%2Ctxregs%2Ctxrules%2Ctxsct%2Ctxapp%2Ctxappciv%2Ctxsecsrcs&amp;p=3&amp;publishedCasesOnly=true&amp;q=pendent+jurisdiction&amp;sort=relevance&amp;type=case&amp;ssr=false&amp;scrollTo=true" TargetMode="External"/><Relationship Id="rId53" Type="http://schemas.openxmlformats.org/officeDocument/2006/relationships/hyperlink" Target="https://casetext.com/case/goodman-v-summit-at-west-rim-ltd?jxs=txcode%2Ctxregs%2Ctxrules%2Ctxsct%2Ctxapp%2Ctxappciv%2Ctxsecsrcs&amp;p=1&amp;publishedCasesOnly=true&amp;q=pendent+jurisdiction&amp;sort=relevance&amp;type=case&amp;ssr=false&amp;scrollTo=true" TargetMode="External"/><Relationship Id="rId5" Type="http://schemas.openxmlformats.org/officeDocument/2006/relationships/webSettings" Target="webSettings.xml"/><Relationship Id="rId10" Type="http://schemas.openxmlformats.org/officeDocument/2006/relationships/hyperlink" Target="https://casetext.com/statute/texas-codes/government-code/title-2-judicial-branch/subtitle-a-courts/chapter-25-statutory-county-courts/subchapter-c-provisions-relating-to-particular-counties/section-251034-harris-county-probate-court-provisions" TargetMode="External"/><Relationship Id="rId19" Type="http://schemas.openxmlformats.org/officeDocument/2006/relationships/hyperlink" Target="https://casetext.com/case/in-re-estate-of-stegall?jxs=txrules%2Ctxsct%2Ctxapp%2Ctxappciv%2Ctxsecsrcs&amp;p=1&amp;q=Section+32.006+concerns+a+statutory+probate+court%27s+independent+jurisdiction&amp;sort=relevance&amp;type=case&amp;ssr=false&amp;scrollTo=true&amp;find=" TargetMode="External"/><Relationship Id="rId31" Type="http://schemas.openxmlformats.org/officeDocument/2006/relationships/hyperlink" Target="https://casetext.com/case/lawton-v-lawton-13?jxs=5cir%2Ctx&amp;p=1&amp;q=The+exception+to+the+exclusive+jurisdiction+of+the+District+Court+provided+by+subsection+%C2%A7+115.001+%28d%29+is+limited+to+matters+%E2%80%9Cincident+to+an+estate%E2%80%9D+and+apply+only+when+a+probate+proceeding+relating+to+such+estate+is+actually+%E2%80%9Cpending%E2%80%9D+in+the+probate+court.&amp;sort=relevance&amp;type=case&amp;ssr=false&amp;scrollTo=true&amp;find=" TargetMode="External"/><Relationship Id="rId44" Type="http://schemas.openxmlformats.org/officeDocument/2006/relationships/hyperlink" Target="https://casetext.com/case/jurgens-v-martin?jxs=txcode%2Ctxregs%2Ctxrules%2Ctxsct%2Ctxapp%2Ctxappciv%2Ctxsecsrcs&amp;p=4&amp;publishedCasesOnly=true&amp;q=pendent+jurisdiction&amp;sort=relevance&amp;type=case&amp;ssr=false&amp;scrollTo=true" TargetMode="External"/><Relationship Id="rId52" Type="http://schemas.openxmlformats.org/officeDocument/2006/relationships/hyperlink" Target="https://casetext.com/case/mohamed-v-exxon-corp?jxs=txcode%2Ctxregs%2Ctxrules%2Ctxsct%2Ctxapp%2Ctxappciv%2Ctxsecsrcs&amp;p=1&amp;publishedCasesOnly=true&amp;q=pendent+jurisdiction&amp;sort=relevance&amp;type=case&amp;ssr=false&amp;scrollTo=true" TargetMode="External"/><Relationship Id="rId4" Type="http://schemas.openxmlformats.org/officeDocument/2006/relationships/settings" Target="settings.xml"/><Relationship Id="rId9" Type="http://schemas.openxmlformats.org/officeDocument/2006/relationships/hyperlink" Target="https://casetext.com/statute/texas-codes/probate-code/chapter-xiii-guardianship/part-2-guardianship-proceedings-and-matters/subpart-a-jurisdiction/section-607-repealed" TargetMode="External"/><Relationship Id="rId14" Type="http://schemas.openxmlformats.org/officeDocument/2006/relationships/hyperlink" Target="https://casetext.com/case/harlow-v-harlow-6?jxs=txrules%2Ctxsct%2Ctxapp%2Ctxappciv%2Ctxsecsrcs&amp;p=1&amp;q=Section+32.006+concerns+a+statutory+probate+court%27s+independent+jurisdiction&amp;sort=relevance&amp;type=case&amp;ssr=false&amp;scrollTo=true&amp;find=" TargetMode="External"/><Relationship Id="rId22" Type="http://schemas.openxmlformats.org/officeDocument/2006/relationships/hyperlink" Target="https://casetext.com/case/king-v-deutsche-bank-natl-trust-co-2?jxs=txrules%2Ctxsct%2Ctxapp%2Ctxappciv%2Ctxsecsrcs&amp;p=1&amp;q=Section+32.006+concerns+a+statutory+probate+court%27s+independent+jurisdiction&amp;sort=relevance&amp;type=case&amp;ssr=false&amp;scrollTo=true&amp;find=" TargetMode="External"/><Relationship Id="rId27" Type="http://schemas.openxmlformats.org/officeDocument/2006/relationships/hyperlink" Target="https://casetext.com/case/texas-dept-parks-wildlife-v-miranda" TargetMode="External"/><Relationship Id="rId30" Type="http://schemas.openxmlformats.org/officeDocument/2006/relationships/hyperlink" Target="https://casetext.com/case/baker-v-baker-62008?jxs=5cir%2Ctx&amp;p=1&amp;q=The+exception+to+the+exclusive+jurisdiction+of+the+District+Court+provided+by+subsection+%C2%A7+115.001+%28d%29+is+limited+to+matters+%E2%80%9Cincident+to+an+estate%E2%80%9D+and+apply+only+when+a+probate+proceeding+relating+to+such+estate+is+actually+%E2%80%9Cpending%E2%80%9D+in+the+probate+court.&amp;sort=relevance&amp;type=case&amp;ssr=false&amp;scrollTo=true&amp;find=" TargetMode="External"/><Relationship Id="rId35" Type="http://schemas.openxmlformats.org/officeDocument/2006/relationships/hyperlink" Target="https://casetext.com/case/in-re-living-centers-of-am?jxs=5cir%2Ctx&amp;p=1&amp;q=The+exception+to+the+exclusive+jurisdiction+of+the+District+Court+provided+by+subsection+%C2%A7+115.001+%28d%29+is+limited+to+matters+%E2%80%9Cincident+to+an+estate%E2%80%9D+and+apply+only+when+a+probate+proceeding+relating+to+such+estate+is+actually+%E2%80%9Cpending%E2%80%9D+in+the+probate+court.&amp;sort=relevance&amp;type=case&amp;ssr=false&amp;scrollTo=true&amp;find=" TargetMode="External"/><Relationship Id="rId43" Type="http://schemas.openxmlformats.org/officeDocument/2006/relationships/hyperlink" Target="https://casetext.com/case/in-re-rushing-20?jxs=txcode%2Ctxregs%2Ctxrules%2Ctxsct%2Ctxapp%2Ctxappciv%2Ctxsecsrcs&amp;p=2&amp;publishedCasesOnly=true&amp;q=pendent+jurisdiction&amp;sort=relevance&amp;type=case&amp;ssr=false&amp;scrollTo=true" TargetMode="External"/><Relationship Id="rId48" Type="http://schemas.openxmlformats.org/officeDocument/2006/relationships/hyperlink" Target="https://casetext.com/case/shell-cortez-pipeline-v-shores?jxs=txcode%2Ctxregs%2Ctxrules%2Ctxsct%2Ctxapp%2Ctxappciv%2Ctxsecsrcs&amp;p=1&amp;publishedCasesOnly=true&amp;q=pendent+jurisdiction&amp;sort=relevance&amp;type=case&amp;ssr=false&amp;scrollTo=true" TargetMode="External"/><Relationship Id="rId8" Type="http://schemas.openxmlformats.org/officeDocument/2006/relationships/hyperlink" Target="https://casetext.com/statute/texas-codes/probate-code/chapter-xiii-guardianship/part-2-guardianship-proceedings-and-matters/subpart-a-jurisdiction/section-607-repealed" TargetMode="External"/><Relationship Id="rId51" Type="http://schemas.openxmlformats.org/officeDocument/2006/relationships/hyperlink" Target="https://casetext.com/case/vale-v-ryan?jxs=txcode%2Ctxregs%2Ctxrules%2Ctxsct%2Ctxapp%2Ctxappciv%2Ctxsecsrcs&amp;p=2&amp;publishedCasesOnly=true&amp;q=pendent+jurisdiction&amp;sort=relevance&amp;type=case&amp;ssr=false&amp;scrollTo=true" TargetMode="External"/><Relationship Id="rId3" Type="http://schemas.microsoft.com/office/2007/relationships/stylesWithEffects" Target="stylesWithEffects.xml"/><Relationship Id="rId12" Type="http://schemas.openxmlformats.org/officeDocument/2006/relationships/hyperlink" Target="https://casetext.com/statute/texas-codes/estates-code/title-2-estates-of-decedents-durable-powers-of-attorney/subtitle-a-scope-jurisdiction-venue-and-courts/chapter-32-jurisdiction/section-32006-jurisdiction-of-statutory-probate-court-with-respect-to-trusts-and-powers-of-attorney" TargetMode="External"/><Relationship Id="rId17" Type="http://schemas.openxmlformats.org/officeDocument/2006/relationships/hyperlink" Target="https://casetext.com/case/in-re-estate-of-nicholas?jxs=txrules%2Ctxsct%2Ctxapp%2Ctxappciv%2Ctxsecsrcs&amp;p=1&amp;q=Section+32.006+concerns+a+statutory+probate+court%27s+independent+jurisdiction&amp;sort=relevance&amp;type=case&amp;ssr=false&amp;scrollTo=true&amp;find=" TargetMode="External"/><Relationship Id="rId25" Type="http://schemas.openxmlformats.org/officeDocument/2006/relationships/hyperlink" Target="https://casetext.com/case/warren-v-weiner-2?jxs=txrules%2Ctxsct%2Ctxapp%2Ctxappciv%2Ctxsecsrcs&amp;p=1&amp;q=Section+32.006+concerns+a+statutory+probate+court%27s+independent+jurisdiction&amp;sort=relevance&amp;type=case&amp;ssr=false&amp;scrollTo=true&amp;find=" TargetMode="External"/><Relationship Id="rId33" Type="http://schemas.openxmlformats.org/officeDocument/2006/relationships/hyperlink" Target="https://casetext.com/case/schuld-v-dembrinski?jxs=5cir%2Ctx&amp;p=1&amp;q=The+exception+to+the+exclusive+jurisdiction+of+the+District+Court+provided+by+subsection+%C2%A7+115.001+%28d%29+is+limited+to+matters+%E2%80%9Cincident+to+an+estate%E2%80%9D+and+apply+only+when+a+probate+proceeding+relating+to+such+estate+is+actually+%E2%80%9Cpending%E2%80%9D+in+the+probate+court.&amp;sort=relevance&amp;type=case&amp;ssr=false&amp;scrollTo=true&amp;find=" TargetMode="External"/><Relationship Id="rId38" Type="http://schemas.openxmlformats.org/officeDocument/2006/relationships/hyperlink" Target="https://casetext.com/case/carlisle-v-bennett-2?jxs=5cir%2Ctx&amp;p=1&amp;q=The+exception+to+the+exclusive+jurisdiction+of+the+District+Court+provided+by+subsection+%C2%A7+115.001+%28d%29+is+limited+to+matters+%E2%80%9Cincident+to+an+estate%E2%80%9D+and+apply+only+when+a+probate+proceeding+relating+to+such+estate+is+actually+%E2%80%9Cpending%E2%80%9D+in+the+probate+court.&amp;sort=relevance&amp;type=case&amp;ssr=false&amp;scrollTo=true&amp;find=" TargetMode="External"/><Relationship Id="rId46" Type="http://schemas.openxmlformats.org/officeDocument/2006/relationships/hyperlink" Target="https://casetext.com/case/in-re-estate-of-hallmark?jxs=txcode%2Ctxregs%2Ctxrules%2Ctxsct%2Ctxapp%2Ctxappciv%2Ctxsecsrcs&amp;p=1&amp;publishedCasesOnly=true&amp;q=pendent+jurisdiction&amp;sort=relevance&amp;type=case&amp;ssr=false&amp;scrollTo=true" TargetMode="External"/><Relationship Id="rId20" Type="http://schemas.openxmlformats.org/officeDocument/2006/relationships/hyperlink" Target="https://casetext.com/case/narvaez-v-darron-powell-darron-powell-pllc?jxs=txrules%2Ctxsct%2Ctxapp%2Ctxappciv%2Ctxsecsrcs&amp;p=1&amp;q=Section+32.006+concerns+a+statutory+probate+court%27s+independent+jurisdiction&amp;sort=relevance&amp;type=case&amp;ssr=false&amp;scrollTo=true&amp;find=" TargetMode="External"/><Relationship Id="rId41" Type="http://schemas.openxmlformats.org/officeDocument/2006/relationships/hyperlink" Target="https://casetext.com/case/seay-v-hall?jxs=5cir%2Ctx&amp;p=1&amp;q=The+exception+to+the+exclusive+jurisdiction+of+the+District+Court+provided+by+subsection+%C2%A7+115.001+%28d%29+is+limited+to+matters+%E2%80%9Cincident+to+an+estate%E2%80%9D+and+apply+only+when+a+probate+proceeding+relating+to+such+estate+is+actually+%E2%80%9Cpending%E2%80%9D+in+the+probate+court.&amp;sort=relevance&amp;type=case&amp;ssr=false&amp;scrollTo=true&amp;find="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casetext.com/case/goepp-v-comerica-bank-trust-na?jxs=txrules%2Ctxsct%2Ctxapp%2Ctxappciv%2Ctxsecsrcs&amp;p=1&amp;q=Section+32.006+concerns+a+statutory+probate+court%27s+independent+jurisdiction&amp;sort=relevance&amp;type=case&amp;ssr=false&amp;scrollTo=true&amp;find=" TargetMode="External"/><Relationship Id="rId23" Type="http://schemas.openxmlformats.org/officeDocument/2006/relationships/hyperlink" Target="https://casetext.com/case/bloom-v-swango-3?jxs=txrules%2Ctxsct%2Ctxapp%2Ctxappciv%2Ctxsecsrcs&amp;p=1&amp;q=Section+32.006+concerns+a+statutory+probate+court%27s+independent+jurisdiction&amp;sort=relevance&amp;type=case&amp;ssr=false&amp;scrollTo=true&amp;find=" TargetMode="External"/><Relationship Id="rId28" Type="http://schemas.openxmlformats.org/officeDocument/2006/relationships/hyperlink" Target="https://casetext.com/case/city-of-arlington-v-state-farm-lloyds" TargetMode="External"/><Relationship Id="rId36" Type="http://schemas.openxmlformats.org/officeDocument/2006/relationships/hyperlink" Target="https://casetext.com/case/wallace-v-collins?jxs=5cir%2Ctx&amp;p=1&amp;q=The+exception+to+the+exclusive+jurisdiction+of+the+District+Court+provided+by+subsection+%C2%A7+115.001+%28d%29+is+limited+to+matters+%E2%80%9Cincident+to+an+estate%E2%80%9D+and+apply+only+when+a+probate+proceeding+relating+to+such+estate+is+actually+%E2%80%9Cpending%E2%80%9D+in+the+probate+court.&amp;sort=relevance&amp;type=case&amp;ssr=false&amp;scrollTo=true&amp;find=" TargetMode="External"/><Relationship Id="rId49" Type="http://schemas.openxmlformats.org/officeDocument/2006/relationships/hyperlink" Target="https://casetext.com/case/patel-v-city-of-everman-1?jxs=txcode%2Ctxregs%2Ctxrules%2Ctxsct%2Ctxapp%2Ctxappciv%2Ctxsecsrcs&amp;p=3&amp;publishedCasesOnly=true&amp;q=pendent+jurisdiction&amp;sort=relevance&amp;type=case&amp;ssr=false&amp;scrollTo=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6383</TotalTime>
  <Pages>14</Pages>
  <Words>4614</Words>
  <Characters>26306</Characters>
  <Application>Microsoft Office Word</Application>
  <DocSecurity>0</DocSecurity>
  <Lines>219</Lines>
  <Paragraphs>61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Void for vagueness</vt:lpstr>
      <vt:lpstr>    Failure to State a Claim</vt:lpstr>
      <vt:lpstr>    Section 32.006 concerns a statutory probate court's independent jurisdiction</vt:lpstr>
      <vt:lpstr>    Reviewing the entire record</vt:lpstr>
      <vt:lpstr>        B.C. v. Steak N Shake Operations, Inc., 613 S.W.3d 338 (Tex. App. 2020)</vt:lpstr>
      <vt:lpstr>    Subject Matter Jurisdiction, Dominant jurisdiction and Standing</vt:lpstr>
      <vt:lpstr>    Absence of Statutory Probate Court Jurisdiction</vt:lpstr>
      <vt:lpstr>    </vt:lpstr>
      <vt:lpstr>    Judicial Economy and Efficiency</vt:lpstr>
      <vt:lpstr>    Judicial Admissions</vt:lpstr>
      <vt:lpstr>    Preliminary Injunction</vt:lpstr>
      <vt:lpstr>    FACTS: </vt:lpstr>
    </vt:vector>
  </TitlesOfParts>
  <Company/>
  <LinksUpToDate>false</LinksUpToDate>
  <CharactersWithSpaces>30859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8</cp:revision>
  <dcterms:created xsi:type="dcterms:W3CDTF">2023-10-06T15:09:00Z</dcterms:created>
  <dcterms:modified xsi:type="dcterms:W3CDTF">2023-10-16T20:19:00Z</dcterms:modified>
</cp:coreProperties>
</file>