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065" w:rsidRDefault="00174065" w:rsidP="004A3D6C">
      <w:pPr>
        <w:pStyle w:val="NoSpacing"/>
      </w:pPr>
      <w:r>
        <w:t>Defamation</w:t>
      </w:r>
    </w:p>
    <w:p w:rsidR="004A3D6C" w:rsidRPr="004A3D6C" w:rsidRDefault="004A3D6C" w:rsidP="004A3D6C">
      <w:pPr>
        <w:pStyle w:val="NoSpacing"/>
      </w:pPr>
      <w:r>
        <w:t xml:space="preserve">Breach of Fiduciary - </w:t>
      </w:r>
      <w:r w:rsidRPr="004A3D6C">
        <w:t>Texas Theft Liability Act</w:t>
      </w:r>
    </w:p>
    <w:p w:rsidR="004A3D6C" w:rsidRDefault="004A3D6C" w:rsidP="004A3D6C">
      <w:pPr>
        <w:pStyle w:val="NoSpacing"/>
      </w:pPr>
      <w:r>
        <w:t>Failure to establish and maintain books and records of accounts</w:t>
      </w:r>
    </w:p>
    <w:p w:rsidR="000C45BF" w:rsidRDefault="004A3D6C" w:rsidP="004A3D6C">
      <w:pPr>
        <w:pStyle w:val="NoSpacing"/>
      </w:pPr>
      <w:r>
        <w:t>Failure to perform specific obligation required by the trust instruments</w:t>
      </w:r>
      <w:r w:rsidR="00174065">
        <w:t xml:space="preserve"> </w:t>
      </w:r>
      <w:bookmarkStart w:id="0" w:name="_GoBack"/>
      <w:bookmarkEnd w:id="0"/>
      <w:r w:rsidR="000C45BF">
        <w:t>(divide by 5)</w:t>
      </w:r>
    </w:p>
    <w:p w:rsidR="000C45BF" w:rsidRDefault="000C45BF" w:rsidP="004A3D6C">
      <w:pPr>
        <w:pStyle w:val="NoSpacing"/>
      </w:pPr>
      <w:r>
        <w:t>Theft:</w:t>
      </w:r>
    </w:p>
    <w:p w:rsidR="000C45BF" w:rsidRDefault="000C45BF" w:rsidP="004A3D6C">
      <w:pPr>
        <w:pStyle w:val="NoSpacing"/>
      </w:pPr>
      <w:r>
        <w:tab/>
      </w:r>
      <w:r>
        <w:t>Misapplication of fiduciary property held in trust for the benefit of an elderly person</w:t>
      </w:r>
    </w:p>
    <w:p w:rsidR="000C45BF" w:rsidRDefault="000C45BF" w:rsidP="000C45BF">
      <w:pPr>
        <w:pStyle w:val="NoSpacing"/>
        <w:ind w:firstLine="720"/>
      </w:pPr>
      <w:r>
        <w:t xml:space="preserve">Conspiracy to commit misapplication of fiduciary property </w:t>
      </w:r>
      <w:r>
        <w:t>held in trust for the benefit of an elderly person</w:t>
      </w:r>
      <w:r>
        <w:t>.</w:t>
      </w:r>
    </w:p>
    <w:p w:rsidR="000C45BF" w:rsidRDefault="000C45BF" w:rsidP="000C45BF">
      <w:pPr>
        <w:pStyle w:val="NoSpacing"/>
        <w:ind w:firstLine="720"/>
      </w:pPr>
      <w:r>
        <w:t>Aiding and abetting misapplication of</w:t>
      </w:r>
      <w:r>
        <w:t xml:space="preserve"> fiduciary </w:t>
      </w:r>
      <w:r>
        <w:t>property.</w:t>
      </w:r>
    </w:p>
    <w:p w:rsidR="004A3D6C" w:rsidRDefault="004A3D6C" w:rsidP="004A3D6C">
      <w:pPr>
        <w:pStyle w:val="NoSpacing"/>
      </w:pPr>
      <w:r>
        <w:t>Fraud</w:t>
      </w:r>
    </w:p>
    <w:p w:rsidR="004A3D6C" w:rsidRDefault="004A3D6C" w:rsidP="004A3D6C">
      <w:pPr>
        <w:pStyle w:val="NoSpacing"/>
      </w:pPr>
      <w:r>
        <w:t>Conversion</w:t>
      </w:r>
    </w:p>
    <w:p w:rsidR="004A3D6C" w:rsidRDefault="004A3D6C" w:rsidP="004A3D6C">
      <w:pPr>
        <w:pStyle w:val="NoSpacing"/>
      </w:pPr>
      <w:r>
        <w:tab/>
        <w:t>Curtis v Brunsting into estate of Nelva Brunsting (personam into rem)</w:t>
      </w:r>
    </w:p>
    <w:p w:rsidR="004A3D6C" w:rsidRDefault="004A3D6C" w:rsidP="004A3D6C">
      <w:pPr>
        <w:pStyle w:val="NoSpacing"/>
        <w:ind w:firstLine="720"/>
      </w:pPr>
      <w:r>
        <w:t xml:space="preserve">Living Trust </w:t>
      </w:r>
      <w:r w:rsidR="000C45BF">
        <w:t xml:space="preserve">(in personam) </w:t>
      </w:r>
      <w:r>
        <w:t>into Probate estate</w:t>
      </w:r>
      <w:r w:rsidR="000C45BF">
        <w:t xml:space="preserve"> (in rem)</w:t>
      </w:r>
    </w:p>
    <w:p w:rsidR="004A3D6C" w:rsidRDefault="004A3D6C" w:rsidP="004A3D6C">
      <w:pPr>
        <w:pStyle w:val="NoSpacing"/>
      </w:pPr>
      <w:r>
        <w:t>Extortion</w:t>
      </w:r>
    </w:p>
    <w:p w:rsidR="004A3D6C" w:rsidRDefault="004A3D6C" w:rsidP="004A3D6C">
      <w:pPr>
        <w:pStyle w:val="NoSpacing"/>
      </w:pPr>
      <w:r>
        <w:t>Violation of a federal preliminary injunction</w:t>
      </w:r>
    </w:p>
    <w:p w:rsidR="004A3D6C" w:rsidRDefault="004A3D6C" w:rsidP="000C45BF">
      <w:pPr>
        <w:pStyle w:val="Heading2"/>
      </w:pPr>
      <w:r>
        <w:t>Damages</w:t>
      </w:r>
    </w:p>
    <w:p w:rsidR="000C45BF" w:rsidRDefault="000C45BF" w:rsidP="000C45BF">
      <w:pPr>
        <w:pStyle w:val="NoSpacing"/>
      </w:pPr>
      <w:r>
        <w:tab/>
      </w:r>
      <w:r w:rsidRPr="000C45BF">
        <w:t>Texas Theft Liability Act</w:t>
      </w:r>
    </w:p>
    <w:p w:rsidR="000C45BF" w:rsidRDefault="000C45BF" w:rsidP="004A3D6C">
      <w:pPr>
        <w:pStyle w:val="NoSpacing"/>
      </w:pPr>
    </w:p>
    <w:p w:rsidR="004A3D6C" w:rsidRDefault="004A3D6C" w:rsidP="004A3D6C">
      <w:pPr>
        <w:pStyle w:val="NoSpacing"/>
      </w:pPr>
      <w:r>
        <w:t>Principal</w:t>
      </w:r>
      <w:r>
        <w:tab/>
      </w:r>
    </w:p>
    <w:p w:rsidR="004A3D6C" w:rsidRDefault="004A3D6C" w:rsidP="004A3D6C">
      <w:pPr>
        <w:pStyle w:val="NoSpacing"/>
      </w:pPr>
      <w:r>
        <w:t>Loss of use (income)</w:t>
      </w:r>
    </w:p>
    <w:p w:rsidR="004A3D6C" w:rsidRDefault="004A3D6C" w:rsidP="004A3D6C">
      <w:pPr>
        <w:pStyle w:val="NoSpacing"/>
      </w:pPr>
      <w:r>
        <w:tab/>
        <w:t>Interest on the loss of income</w:t>
      </w:r>
    </w:p>
    <w:p w:rsidR="004A3D6C" w:rsidRDefault="004A3D6C">
      <w:pPr>
        <w:rPr>
          <w:sz w:val="28"/>
          <w:szCs w:val="28"/>
        </w:rPr>
      </w:pPr>
    </w:p>
    <w:p w:rsidR="00D653E0" w:rsidRPr="00A351DE" w:rsidRDefault="00B018FF">
      <w:pPr>
        <w:rPr>
          <w:sz w:val="28"/>
          <w:szCs w:val="28"/>
        </w:rPr>
      </w:pPr>
      <w:hyperlink r:id="rId6" w:anchor="uh6292395ef9c4d90037e2da99" w:history="1">
        <w:r w:rsidRPr="00A351DE">
          <w:rPr>
            <w:rStyle w:val="Hyperlink"/>
            <w:sz w:val="28"/>
            <w:szCs w:val="28"/>
          </w:rPr>
          <w:t>Dailey v. McAfee</w:t>
        </w:r>
      </w:hyperlink>
      <w:r w:rsidRPr="00A351DE">
        <w:rPr>
          <w:sz w:val="28"/>
          <w:szCs w:val="28"/>
        </w:rPr>
        <w:t>, No. 01-18-01060-CV (Tex. App. Aug. 18, 2020)</w:t>
      </w:r>
    </w:p>
    <w:p w:rsidR="00B018FF" w:rsidRDefault="00A351DE" w:rsidP="00A351DE">
      <w:pPr>
        <w:pStyle w:val="Quote"/>
        <w:rPr>
          <w:sz w:val="28"/>
          <w:szCs w:val="28"/>
        </w:rPr>
      </w:pPr>
      <w:r w:rsidRPr="00A351DE">
        <w:rPr>
          <w:sz w:val="28"/>
          <w:szCs w:val="28"/>
        </w:rPr>
        <w:t>Statutory probate courts are courts of limited jurisdiction. See Stauffer v. Nicholson, 438 S.W.3d 205, 213 (Tex. App.—Dallas 2014, no pet.) (</w:t>
      </w:r>
      <w:proofErr w:type="gramStart"/>
      <w:r w:rsidRPr="00A351DE">
        <w:rPr>
          <w:sz w:val="28"/>
          <w:szCs w:val="28"/>
        </w:rPr>
        <w:t>citing</w:t>
      </w:r>
      <w:proofErr w:type="gramEnd"/>
      <w:r w:rsidRPr="00A351DE">
        <w:rPr>
          <w:sz w:val="28"/>
          <w:szCs w:val="28"/>
        </w:rPr>
        <w:t xml:space="preserve"> In re United </w:t>
      </w:r>
      <w:proofErr w:type="spellStart"/>
      <w:r w:rsidRPr="00A351DE">
        <w:rPr>
          <w:sz w:val="28"/>
          <w:szCs w:val="28"/>
        </w:rPr>
        <w:t>Servs</w:t>
      </w:r>
      <w:proofErr w:type="spellEnd"/>
      <w:r w:rsidRPr="00A351DE">
        <w:rPr>
          <w:sz w:val="28"/>
          <w:szCs w:val="28"/>
        </w:rPr>
        <w:t xml:space="preserve">. Auto. </w:t>
      </w:r>
      <w:proofErr w:type="spellStart"/>
      <w:r w:rsidRPr="00A351DE">
        <w:rPr>
          <w:sz w:val="28"/>
          <w:szCs w:val="28"/>
        </w:rPr>
        <w:t>Ass'n</w:t>
      </w:r>
      <w:proofErr w:type="spellEnd"/>
      <w:r w:rsidRPr="00A351DE">
        <w:rPr>
          <w:sz w:val="28"/>
          <w:szCs w:val="28"/>
        </w:rPr>
        <w:t xml:space="preserve">, 307 S.W.3d 299, 302-03 (Tex. 2010)) (contrasting limited jurisdiction of statutory probate courts with general jurisdiction of district courts); see also Narvaez v. Powell, 564 S.W.3d 49, 54 (Tex. App.—El Paso 2018, pet. denied). Dailey argues that the probate court had jurisdiction over her declaratory judgment action pursuant to Chapter 32 of the Texas Estates Code. See TEX. </w:t>
      </w:r>
      <w:proofErr w:type="gramStart"/>
      <w:r w:rsidRPr="00A351DE">
        <w:rPr>
          <w:sz w:val="28"/>
          <w:szCs w:val="28"/>
        </w:rPr>
        <w:t xml:space="preserve">EST. CODE §§ 32.001(b), 32.005(a), </w:t>
      </w:r>
      <w:r w:rsidRPr="00A351DE">
        <w:rPr>
          <w:sz w:val="28"/>
          <w:szCs w:val="28"/>
        </w:rPr>
        <w:lastRenderedPageBreak/>
        <w:t>32.007(4).</w:t>
      </w:r>
      <w:proofErr w:type="gramEnd"/>
      <w:r w:rsidRPr="00A351DE">
        <w:rPr>
          <w:sz w:val="28"/>
          <w:szCs w:val="28"/>
        </w:rPr>
        <w:t xml:space="preserve"> Section 32.001(b) grants a probate court "pendent and ancillary jurisdiction as necessary to promote judicial efficiency and economy." </w:t>
      </w:r>
      <w:proofErr w:type="gramStart"/>
      <w:r w:rsidRPr="00A351DE">
        <w:rPr>
          <w:sz w:val="28"/>
          <w:szCs w:val="28"/>
        </w:rPr>
        <w:t>Id. § 32.001(b).</w:t>
      </w:r>
      <w:proofErr w:type="gramEnd"/>
      <w:r w:rsidRPr="00A351DE">
        <w:rPr>
          <w:sz w:val="28"/>
          <w:szCs w:val="28"/>
        </w:rPr>
        <w:t xml:space="preserve"> In order for a probate court to assert jurisdiction over matters incident to an estate, a probate proceeding must already be pending in the probate court. See Narvaez, 564 S.W.3d at 57-58 (stating "probate courts exercise their ancillary or pendent jurisdiction over non-probate matters only when doing so will aid in the efficient administration of an estate pending in the probate court") (citing Shell Cortez Pipeline Co. v. Shores, 127 S.W.3d 286, 294-95 (Tex. App.—Fort Worth 2004, no pet.)). We note that McAfee does not dispute that Carl's probate proceeding was pending when Dailey filed her petition for declaratory judgment in June 2014. We further note that if Carl's probate proceeding was closed when Dailey filed her petition for declaratory judgment, the probate court would not have had jurisdiction to hear the petition. See Narvaez, </w:t>
      </w:r>
      <w:proofErr w:type="gramStart"/>
      <w:r w:rsidRPr="00A351DE">
        <w:rPr>
          <w:sz w:val="28"/>
          <w:szCs w:val="28"/>
        </w:rPr>
        <w:t>564 S.W.3d at 57-58</w:t>
      </w:r>
      <w:proofErr w:type="gramEnd"/>
      <w:r w:rsidRPr="00A351DE">
        <w:rPr>
          <w:sz w:val="28"/>
          <w:szCs w:val="28"/>
        </w:rPr>
        <w:t>. There is nothing in the appellate record, however, that reflects the status of the probate proceeding when the petition was filed. See PNS Stores, Inc., 379 S.W.3d at 273 (stating trial court's prior judgment is void and subject to collateral attack if record affirmatively demonstrates that court lacked subject matter jurisdiction over suit). Because the appellate record does not demonstrate that the probate proceeding was closed when Dailey filed her petition, we must presume that the default declaratory judgment is valid. See id. (</w:t>
      </w:r>
      <w:proofErr w:type="gramStart"/>
      <w:r w:rsidRPr="00A351DE">
        <w:rPr>
          <w:sz w:val="28"/>
          <w:szCs w:val="28"/>
        </w:rPr>
        <w:t>stating</w:t>
      </w:r>
      <w:proofErr w:type="gramEnd"/>
      <w:r w:rsidRPr="00A351DE">
        <w:rPr>
          <w:sz w:val="28"/>
          <w:szCs w:val="28"/>
        </w:rPr>
        <w:t xml:space="preserve"> courts presume that judgment being collaterally attacked is valid unless record establishes jurisdictional defect, effectively rebutting presumption).</w:t>
      </w:r>
    </w:p>
    <w:p w:rsidR="00A351DE" w:rsidRDefault="00A351DE">
      <w:pPr>
        <w:widowControl/>
        <w:spacing w:before="0" w:after="0" w:line="240" w:lineRule="auto"/>
        <w:ind w:firstLine="0"/>
        <w:textboxTightWrap w:val="none"/>
      </w:pPr>
    </w:p>
    <w:p w:rsidR="00A351DE" w:rsidRDefault="00A351DE">
      <w:pPr>
        <w:widowControl/>
        <w:spacing w:before="0" w:after="0" w:line="240" w:lineRule="auto"/>
        <w:ind w:firstLine="0"/>
        <w:textboxTightWrap w:val="none"/>
      </w:pPr>
    </w:p>
    <w:p w:rsidR="00A351DE" w:rsidRDefault="00A351DE" w:rsidP="00A351DE">
      <w:pPr>
        <w:pStyle w:val="Heading2"/>
      </w:pPr>
      <w:r>
        <w:t>Ancillary Jurisdiction</w:t>
      </w:r>
    </w:p>
    <w:p w:rsidR="00A351DE" w:rsidRDefault="00A351DE" w:rsidP="00A351DE">
      <w:pPr>
        <w:pStyle w:val="NumPara1"/>
      </w:pPr>
      <w:r>
        <w:t>Pour Over Will</w:t>
      </w:r>
    </w:p>
    <w:p w:rsidR="00A351DE" w:rsidRDefault="00A351DE" w:rsidP="00A351DE">
      <w:pPr>
        <w:pStyle w:val="NumPara1"/>
      </w:pPr>
      <w:r>
        <w:t>Letters Testamentary / Independent Administration</w:t>
      </w:r>
    </w:p>
    <w:p w:rsidR="00A351DE" w:rsidRDefault="00A351DE" w:rsidP="00A351DE">
      <w:pPr>
        <w:pStyle w:val="NumPara1"/>
      </w:pPr>
      <w:r>
        <w:t>Approved Inventory</w:t>
      </w:r>
    </w:p>
    <w:p w:rsidR="00A351DE" w:rsidRDefault="00A351DE" w:rsidP="00A351DE">
      <w:pPr>
        <w:pStyle w:val="NumPara1"/>
      </w:pPr>
      <w:r>
        <w:t>Drop Order</w:t>
      </w:r>
    </w:p>
    <w:p w:rsidR="00A351DE" w:rsidRDefault="00A351DE" w:rsidP="00A351DE">
      <w:pPr>
        <w:pStyle w:val="NumPara1"/>
      </w:pPr>
      <w:r>
        <w:lastRenderedPageBreak/>
        <w:t>Carl’s Original Petition</w:t>
      </w:r>
    </w:p>
    <w:p w:rsidR="00A351DE" w:rsidRDefault="00A351DE" w:rsidP="00A351DE">
      <w:pPr>
        <w:pStyle w:val="NumPara1"/>
      </w:pPr>
      <w:r>
        <w:t>Carl’s Resignation</w:t>
      </w:r>
    </w:p>
    <w:p w:rsidR="00A351DE" w:rsidRDefault="00A351DE" w:rsidP="00A351DE">
      <w:pPr>
        <w:pStyle w:val="Heading2"/>
      </w:pPr>
      <w:r>
        <w:t xml:space="preserve">Summary Judgment </w:t>
      </w:r>
    </w:p>
    <w:p w:rsidR="00A351DE" w:rsidRPr="00A351DE" w:rsidRDefault="00A351DE" w:rsidP="00A351DE">
      <w:r>
        <w:t>Findings of fact</w:t>
      </w:r>
    </w:p>
    <w:p w:rsidR="00A351DE" w:rsidRPr="00A351DE" w:rsidRDefault="00A351DE" w:rsidP="00A351DE"/>
    <w:sectPr w:rsidR="00A351DE" w:rsidRPr="00A351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F5706"/>
    <w:multiLevelType w:val="hybridMultilevel"/>
    <w:tmpl w:val="D92C05F2"/>
    <w:lvl w:ilvl="0" w:tplc="593E260C">
      <w:start w:val="1"/>
      <w:numFmt w:val="decimal"/>
      <w:lvlText w:val="%1."/>
      <w:lvlJc w:val="left"/>
      <w:pPr>
        <w:ind w:left="360" w:hanging="360"/>
      </w:pPr>
      <w:rPr>
        <w:rFonts w:hint="default"/>
      </w:rPr>
    </w:lvl>
    <w:lvl w:ilvl="1" w:tplc="8192510E">
      <w:start w:val="1"/>
      <w:numFmt w:val="lowerLetter"/>
      <w:lvlText w:val="%2."/>
      <w:lvlJc w:val="left"/>
      <w:pPr>
        <w:ind w:left="1440" w:hanging="360"/>
      </w:pPr>
    </w:lvl>
    <w:lvl w:ilvl="2" w:tplc="251AB490">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0006B8"/>
    <w:multiLevelType w:val="hybridMultilevel"/>
    <w:tmpl w:val="D9344AE6"/>
    <w:lvl w:ilvl="0" w:tplc="0E485F38">
      <w:start w:val="1"/>
      <w:numFmt w:val="decimal"/>
      <w:pStyle w:val="NumPara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6326B8A"/>
    <w:multiLevelType w:val="hybridMultilevel"/>
    <w:tmpl w:val="0A1051A6"/>
    <w:lvl w:ilvl="0" w:tplc="B03A2326">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565D82"/>
    <w:multiLevelType w:val="hybridMultilevel"/>
    <w:tmpl w:val="4EC2DD52"/>
    <w:lvl w:ilvl="0" w:tplc="39F02D3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6F5047"/>
    <w:multiLevelType w:val="hybridMultilevel"/>
    <w:tmpl w:val="448860B2"/>
    <w:lvl w:ilvl="0" w:tplc="01461E86">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CA470B3"/>
    <w:multiLevelType w:val="hybridMultilevel"/>
    <w:tmpl w:val="A468983C"/>
    <w:lvl w:ilvl="0" w:tplc="CEE272E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5"/>
  </w:num>
  <w:num w:numId="12">
    <w:abstractNumId w:val="4"/>
  </w:num>
  <w:num w:numId="13">
    <w:abstractNumId w:val="2"/>
  </w:num>
  <w:num w:numId="14">
    <w:abstractNumId w:val="2"/>
  </w:num>
  <w:num w:numId="15">
    <w:abstractNumId w:val="2"/>
  </w:num>
  <w:num w:numId="16">
    <w:abstractNumId w:val="4"/>
  </w:num>
  <w:num w:numId="17">
    <w:abstractNumId w:val="2"/>
  </w:num>
  <w:num w:numId="18">
    <w:abstractNumId w:val="2"/>
  </w:num>
  <w:num w:numId="19">
    <w:abstractNumId w:val="2"/>
  </w:num>
  <w:num w:numId="20">
    <w:abstractNumId w:val="4"/>
  </w:num>
  <w:num w:numId="21">
    <w:abstractNumId w:val="2"/>
  </w:num>
  <w:num w:numId="22">
    <w:abstractNumId w:val="2"/>
  </w:num>
  <w:num w:numId="23">
    <w:abstractNumId w:val="2"/>
  </w:num>
  <w:num w:numId="24">
    <w:abstractNumId w:val="4"/>
  </w:num>
  <w:num w:numId="25">
    <w:abstractNumId w:val="2"/>
  </w:num>
  <w:num w:numId="26">
    <w:abstractNumId w:val="2"/>
  </w:num>
  <w:num w:numId="27">
    <w:abstractNumId w:val="2"/>
  </w:num>
  <w:num w:numId="28">
    <w:abstractNumId w:val="4"/>
  </w:num>
  <w:num w:numId="29">
    <w:abstractNumId w:val="2"/>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8FF"/>
    <w:rsid w:val="000C45BF"/>
    <w:rsid w:val="000D0E94"/>
    <w:rsid w:val="000F738F"/>
    <w:rsid w:val="00124D37"/>
    <w:rsid w:val="00174065"/>
    <w:rsid w:val="001A3F32"/>
    <w:rsid w:val="001D0B0A"/>
    <w:rsid w:val="001D6254"/>
    <w:rsid w:val="00237452"/>
    <w:rsid w:val="003A6462"/>
    <w:rsid w:val="003F4B40"/>
    <w:rsid w:val="00424FE8"/>
    <w:rsid w:val="004A3D6C"/>
    <w:rsid w:val="005157AC"/>
    <w:rsid w:val="005B4D26"/>
    <w:rsid w:val="005E0485"/>
    <w:rsid w:val="006A479E"/>
    <w:rsid w:val="00721920"/>
    <w:rsid w:val="00727055"/>
    <w:rsid w:val="00756AA9"/>
    <w:rsid w:val="007C1128"/>
    <w:rsid w:val="00855E0E"/>
    <w:rsid w:val="008B060C"/>
    <w:rsid w:val="00932191"/>
    <w:rsid w:val="00950776"/>
    <w:rsid w:val="00975538"/>
    <w:rsid w:val="00977F59"/>
    <w:rsid w:val="009A77A7"/>
    <w:rsid w:val="009D75C0"/>
    <w:rsid w:val="00A17B47"/>
    <w:rsid w:val="00A237F9"/>
    <w:rsid w:val="00A351DE"/>
    <w:rsid w:val="00AB0B1E"/>
    <w:rsid w:val="00AC0531"/>
    <w:rsid w:val="00B018FF"/>
    <w:rsid w:val="00B02C6D"/>
    <w:rsid w:val="00B32522"/>
    <w:rsid w:val="00B64FE7"/>
    <w:rsid w:val="00B67DE7"/>
    <w:rsid w:val="00BC2371"/>
    <w:rsid w:val="00C42C11"/>
    <w:rsid w:val="00C67045"/>
    <w:rsid w:val="00D653E0"/>
    <w:rsid w:val="00E83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7A7"/>
    <w:pPr>
      <w:widowControl w:val="0"/>
      <w:spacing w:before="120" w:after="240" w:line="480" w:lineRule="auto"/>
      <w:ind w:firstLine="720"/>
      <w:textboxTightWrap w:val="allLines"/>
    </w:pPr>
    <w:rPr>
      <w:rFonts w:ascii="Times New Roman" w:hAnsi="Times New Roman" w:cs="Times New Roman"/>
      <w:color w:val="000000"/>
      <w:sz w:val="24"/>
    </w:rPr>
  </w:style>
  <w:style w:type="paragraph" w:styleId="Heading1">
    <w:name w:val="heading 1"/>
    <w:basedOn w:val="Normal"/>
    <w:next w:val="Normal"/>
    <w:link w:val="Heading1Char"/>
    <w:autoRedefine/>
    <w:uiPriority w:val="9"/>
    <w:qFormat/>
    <w:rsid w:val="008B060C"/>
    <w:pPr>
      <w:keepLines/>
      <w:numPr>
        <w:numId w:val="14"/>
      </w:numPr>
      <w:spacing w:line="360" w:lineRule="auto"/>
      <w:outlineLvl w:val="0"/>
    </w:pPr>
    <w:rPr>
      <w:rFonts w:eastAsiaTheme="majorEastAsia"/>
      <w:b/>
      <w:szCs w:val="32"/>
    </w:rPr>
  </w:style>
  <w:style w:type="paragraph" w:styleId="Heading2">
    <w:name w:val="heading 2"/>
    <w:basedOn w:val="Normal"/>
    <w:next w:val="Normal"/>
    <w:link w:val="Heading2Char"/>
    <w:autoRedefine/>
    <w:uiPriority w:val="9"/>
    <w:unhideWhenUsed/>
    <w:qFormat/>
    <w:rsid w:val="000D0E94"/>
    <w:pPr>
      <w:keepLines/>
      <w:spacing w:after="120" w:line="240" w:lineRule="auto"/>
      <w:ind w:firstLine="0"/>
      <w:outlineLvl w:val="1"/>
    </w:pPr>
    <w:rPr>
      <w:rFonts w:cstheme="majorBidi"/>
      <w:b/>
      <w:bCs/>
      <w:sz w:val="26"/>
      <w:szCs w:val="26"/>
    </w:rPr>
  </w:style>
  <w:style w:type="paragraph" w:styleId="Heading3">
    <w:name w:val="heading 3"/>
    <w:basedOn w:val="Normal"/>
    <w:next w:val="Normal"/>
    <w:link w:val="Heading3Char"/>
    <w:uiPriority w:val="9"/>
    <w:unhideWhenUsed/>
    <w:qFormat/>
    <w:rsid w:val="000D0E94"/>
    <w:pPr>
      <w:spacing w:after="120" w:line="240" w:lineRule="auto"/>
      <w:outlineLvl w:val="2"/>
    </w:pPr>
    <w:rPr>
      <w:b/>
    </w:rPr>
  </w:style>
  <w:style w:type="paragraph" w:styleId="Heading4">
    <w:name w:val="heading 4"/>
    <w:basedOn w:val="Normal"/>
    <w:next w:val="Normal"/>
    <w:link w:val="Heading4Char"/>
    <w:uiPriority w:val="9"/>
    <w:unhideWhenUsed/>
    <w:qFormat/>
    <w:rsid w:val="003A6462"/>
    <w:pPr>
      <w:ind w:left="720"/>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0D0E94"/>
    <w:pPr>
      <w:spacing w:after="120" w:line="240" w:lineRule="auto"/>
      <w:ind w:left="720" w:right="720" w:firstLine="0"/>
    </w:pPr>
    <w:rPr>
      <w:i/>
      <w:iCs/>
      <w:color w:val="404040" w:themeColor="text1" w:themeTint="BF"/>
    </w:rPr>
  </w:style>
  <w:style w:type="character" w:customStyle="1" w:styleId="QuoteChar">
    <w:name w:val="Quote Char"/>
    <w:basedOn w:val="DefaultParagraphFont"/>
    <w:link w:val="Quote"/>
    <w:uiPriority w:val="29"/>
    <w:rsid w:val="000D0E94"/>
    <w:rPr>
      <w:rFonts w:ascii="Times New Roman" w:hAnsi="Times New Roman" w:cs="Times New Roman"/>
      <w:i/>
      <w:iCs/>
      <w:color w:val="404040" w:themeColor="text1" w:themeTint="BF"/>
      <w:sz w:val="24"/>
    </w:rPr>
  </w:style>
  <w:style w:type="character" w:customStyle="1" w:styleId="Heading1Char">
    <w:name w:val="Heading 1 Char"/>
    <w:basedOn w:val="DefaultParagraphFont"/>
    <w:link w:val="Heading1"/>
    <w:uiPriority w:val="9"/>
    <w:rsid w:val="008B060C"/>
    <w:rPr>
      <w:rFonts w:ascii="Times New Roman" w:eastAsiaTheme="majorEastAsia" w:hAnsi="Times New Roman" w:cs="Times New Roman"/>
      <w:b/>
      <w:sz w:val="28"/>
      <w:szCs w:val="32"/>
    </w:rPr>
  </w:style>
  <w:style w:type="character" w:customStyle="1" w:styleId="Heading2Char">
    <w:name w:val="Heading 2 Char"/>
    <w:basedOn w:val="DefaultParagraphFont"/>
    <w:link w:val="Heading2"/>
    <w:uiPriority w:val="9"/>
    <w:rsid w:val="000D0E94"/>
    <w:rPr>
      <w:rFonts w:ascii="Times New Roman" w:hAnsi="Times New Roman" w:cstheme="majorBidi"/>
      <w:b/>
      <w:bCs/>
      <w:color w:val="000000"/>
      <w:sz w:val="26"/>
      <w:szCs w:val="26"/>
    </w:rPr>
  </w:style>
  <w:style w:type="paragraph" w:customStyle="1" w:styleId="NumPara1">
    <w:name w:val="Num Para 1"/>
    <w:basedOn w:val="ListParagraph"/>
    <w:link w:val="NumPara1Char"/>
    <w:autoRedefine/>
    <w:qFormat/>
    <w:rsid w:val="00A351DE"/>
    <w:pPr>
      <w:numPr>
        <w:numId w:val="30"/>
      </w:numPr>
    </w:pPr>
  </w:style>
  <w:style w:type="character" w:customStyle="1" w:styleId="NumPara1Char">
    <w:name w:val="Num Para 1 Char"/>
    <w:basedOn w:val="DefaultParagraphFont"/>
    <w:link w:val="NumPara1"/>
    <w:rsid w:val="00A351DE"/>
    <w:rPr>
      <w:rFonts w:ascii="Times New Roman" w:hAnsi="Times New Roman" w:cs="Times New Roman"/>
      <w:color w:val="000000"/>
      <w:sz w:val="24"/>
    </w:rPr>
  </w:style>
  <w:style w:type="paragraph" w:styleId="ListParagraph">
    <w:name w:val="List Paragraph"/>
    <w:basedOn w:val="Normal"/>
    <w:link w:val="ListParagraphChar"/>
    <w:autoRedefine/>
    <w:uiPriority w:val="34"/>
    <w:qFormat/>
    <w:rsid w:val="00124D37"/>
  </w:style>
  <w:style w:type="paragraph" w:customStyle="1" w:styleId="TOC">
    <w:name w:val="TOC"/>
    <w:basedOn w:val="TOCHeading"/>
    <w:link w:val="TOCChar"/>
    <w:autoRedefine/>
    <w:qFormat/>
    <w:rsid w:val="00B32522"/>
    <w:pPr>
      <w:spacing w:before="120" w:line="240" w:lineRule="auto"/>
    </w:pPr>
    <w:rPr>
      <w:rFonts w:ascii="Times New Roman" w:hAnsi="Times New Roman"/>
      <w:lang w:eastAsia="ja-JP"/>
    </w:rPr>
  </w:style>
  <w:style w:type="character" w:customStyle="1" w:styleId="TOCChar">
    <w:name w:val="TOC Char"/>
    <w:basedOn w:val="DefaultParagraphFont"/>
    <w:link w:val="TOC"/>
    <w:rsid w:val="00B32522"/>
    <w:rPr>
      <w:rFonts w:ascii="Times New Roman" w:eastAsiaTheme="majorEastAsia" w:hAnsi="Times New Roman" w:cstheme="majorBidi"/>
      <w:bCs/>
      <w:color w:val="2E74B5" w:themeColor="accent1" w:themeShade="BF"/>
      <w:sz w:val="24"/>
      <w:szCs w:val="28"/>
      <w:lang w:eastAsia="ja-JP"/>
    </w:rPr>
  </w:style>
  <w:style w:type="paragraph" w:styleId="TOCHeading">
    <w:name w:val="TOC Heading"/>
    <w:basedOn w:val="Heading1"/>
    <w:next w:val="Normal"/>
    <w:uiPriority w:val="39"/>
    <w:semiHidden/>
    <w:unhideWhenUsed/>
    <w:qFormat/>
    <w:rsid w:val="00B32522"/>
    <w:pPr>
      <w:numPr>
        <w:numId w:val="0"/>
      </w:numPr>
      <w:spacing w:before="480"/>
      <w:outlineLvl w:val="9"/>
    </w:pPr>
    <w:rPr>
      <w:rFonts w:asciiTheme="majorHAnsi" w:hAnsiTheme="majorHAnsi" w:cstheme="majorBidi"/>
      <w:b w:val="0"/>
      <w:bCs/>
      <w:color w:val="2E74B5" w:themeColor="accent1" w:themeShade="BF"/>
      <w:szCs w:val="28"/>
    </w:rPr>
  </w:style>
  <w:style w:type="paragraph" w:styleId="TOC1">
    <w:name w:val="toc 1"/>
    <w:basedOn w:val="Normal"/>
    <w:next w:val="Normal"/>
    <w:autoRedefine/>
    <w:uiPriority w:val="39"/>
    <w:unhideWhenUsed/>
    <w:rsid w:val="00977F59"/>
    <w:rPr>
      <w:b/>
      <w:bCs/>
      <w:caps/>
    </w:rPr>
  </w:style>
  <w:style w:type="paragraph" w:styleId="NoSpacing">
    <w:name w:val="No Spacing"/>
    <w:autoRedefine/>
    <w:uiPriority w:val="1"/>
    <w:qFormat/>
    <w:rsid w:val="00727055"/>
    <w:pPr>
      <w:spacing w:after="120"/>
    </w:pPr>
    <w:rPr>
      <w:rFonts w:ascii="Times New Roman" w:eastAsiaTheme="minorEastAsia" w:hAnsi="Times New Roman"/>
      <w:sz w:val="24"/>
    </w:rPr>
  </w:style>
  <w:style w:type="paragraph" w:customStyle="1" w:styleId="Bullet">
    <w:name w:val="Bullet"/>
    <w:basedOn w:val="NumPara1"/>
    <w:link w:val="BulletChar"/>
    <w:qFormat/>
    <w:rsid w:val="00B32522"/>
    <w:pPr>
      <w:numPr>
        <w:numId w:val="28"/>
      </w:numPr>
    </w:pPr>
  </w:style>
  <w:style w:type="character" w:customStyle="1" w:styleId="BulletChar">
    <w:name w:val="Bullet Char"/>
    <w:basedOn w:val="NumPara1Char"/>
    <w:link w:val="Bullet"/>
    <w:rsid w:val="00B32522"/>
    <w:rPr>
      <w:rFonts w:ascii="Times New Roman" w:hAnsi="Times New Roman" w:cs="Times New Roman"/>
      <w:color w:val="000000"/>
      <w:sz w:val="24"/>
      <w:szCs w:val="28"/>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0D0E94"/>
    <w:rPr>
      <w:rFonts w:ascii="Times New Roman" w:hAnsi="Times New Roman" w:cs="Times New Roman"/>
      <w:b/>
      <w:color w:val="000000"/>
      <w:sz w:val="24"/>
    </w:rPr>
  </w:style>
  <w:style w:type="character" w:customStyle="1" w:styleId="Heading4Char">
    <w:name w:val="Heading 4 Char"/>
    <w:basedOn w:val="DefaultParagraphFont"/>
    <w:link w:val="Heading4"/>
    <w:uiPriority w:val="9"/>
    <w:rsid w:val="003A6462"/>
    <w:rPr>
      <w:rFonts w:ascii="Times New Roman" w:hAnsi="Times New Roman"/>
      <w:b/>
      <w:bCs/>
      <w:i/>
      <w:iCs/>
      <w:sz w:val="24"/>
      <w:szCs w:val="24"/>
    </w:rPr>
  </w:style>
  <w:style w:type="paragraph" w:styleId="FootnoteText">
    <w:name w:val="footnote text"/>
    <w:basedOn w:val="Normal"/>
    <w:link w:val="FootnoteTextChar"/>
    <w:uiPriority w:val="99"/>
    <w:unhideWhenUsed/>
    <w:rsid w:val="00B32522"/>
    <w:rPr>
      <w:sz w:val="20"/>
    </w:rPr>
  </w:style>
  <w:style w:type="character" w:customStyle="1" w:styleId="FootnoteTextChar">
    <w:name w:val="Footnote Text Char"/>
    <w:basedOn w:val="DefaultParagraphFont"/>
    <w:link w:val="FootnoteText"/>
    <w:uiPriority w:val="99"/>
    <w:rsid w:val="00B32522"/>
    <w:rPr>
      <w:rFonts w:ascii="Times New Roman" w:hAnsi="Times New Roman" w:cs="Times New Roman"/>
    </w:rPr>
  </w:style>
  <w:style w:type="paragraph" w:styleId="Header">
    <w:name w:val="header"/>
    <w:basedOn w:val="Normal"/>
    <w:link w:val="HeaderChar"/>
    <w:uiPriority w:val="99"/>
    <w:unhideWhenUsed/>
    <w:rsid w:val="00B32522"/>
    <w:pPr>
      <w:tabs>
        <w:tab w:val="center" w:pos="4680"/>
        <w:tab w:val="right" w:pos="9360"/>
      </w:tabs>
    </w:pPr>
  </w:style>
  <w:style w:type="character" w:customStyle="1" w:styleId="HeaderChar">
    <w:name w:val="Header Char"/>
    <w:basedOn w:val="DefaultParagraphFont"/>
    <w:link w:val="Header"/>
    <w:uiPriority w:val="99"/>
    <w:rsid w:val="00B32522"/>
    <w:rPr>
      <w:rFonts w:ascii="Times New Roman" w:hAnsi="Times New Roman"/>
      <w:sz w:val="24"/>
      <w:szCs w:val="28"/>
    </w:rPr>
  </w:style>
  <w:style w:type="paragraph" w:styleId="Footer">
    <w:name w:val="footer"/>
    <w:basedOn w:val="Normal"/>
    <w:link w:val="FooterChar"/>
    <w:uiPriority w:val="99"/>
    <w:unhideWhenUsed/>
    <w:rsid w:val="00B32522"/>
    <w:rPr>
      <w:sz w:val="20"/>
    </w:rPr>
  </w:style>
  <w:style w:type="character" w:customStyle="1" w:styleId="FooterChar">
    <w:name w:val="Footer Char"/>
    <w:basedOn w:val="DefaultParagraphFont"/>
    <w:link w:val="Footer"/>
    <w:uiPriority w:val="99"/>
    <w:rsid w:val="00B32522"/>
    <w:rPr>
      <w:rFonts w:ascii="Times New Roman" w:hAnsi="Times New Roman" w:cs="Times New Roman"/>
      <w:szCs w:val="28"/>
    </w:rPr>
  </w:style>
  <w:style w:type="character" w:styleId="FootnoteReference">
    <w:name w:val="footnote reference"/>
    <w:basedOn w:val="DefaultParagraphFont"/>
    <w:uiPriority w:val="99"/>
    <w:semiHidden/>
    <w:unhideWhenUsed/>
    <w:rsid w:val="00B32522"/>
    <w:rPr>
      <w:vertAlign w:val="superscript"/>
    </w:rPr>
  </w:style>
  <w:style w:type="character" w:styleId="EndnoteReference">
    <w:name w:val="endnote reference"/>
    <w:basedOn w:val="DefaultParagraphFont"/>
    <w:uiPriority w:val="99"/>
    <w:semiHidden/>
    <w:unhideWhenUsed/>
    <w:rsid w:val="00B32522"/>
    <w:rPr>
      <w:vertAlign w:val="superscript"/>
    </w:rPr>
  </w:style>
  <w:style w:type="paragraph" w:styleId="EndnoteText">
    <w:name w:val="endnote text"/>
    <w:basedOn w:val="Normal"/>
    <w:link w:val="EndnoteTextChar"/>
    <w:uiPriority w:val="99"/>
    <w:semiHidden/>
    <w:unhideWhenUsed/>
    <w:rsid w:val="00B32522"/>
    <w:rPr>
      <w:sz w:val="20"/>
    </w:rPr>
  </w:style>
  <w:style w:type="character" w:customStyle="1" w:styleId="EndnoteTextChar">
    <w:name w:val="Endnote Text Char"/>
    <w:basedOn w:val="DefaultParagraphFont"/>
    <w:link w:val="EndnoteText"/>
    <w:uiPriority w:val="99"/>
    <w:semiHidden/>
    <w:rsid w:val="00B32522"/>
    <w:rPr>
      <w:rFonts w:ascii="Times New Roman" w:hAnsi="Times New Roman"/>
    </w:rPr>
  </w:style>
  <w:style w:type="paragraph" w:styleId="Title">
    <w:name w:val="Title"/>
    <w:basedOn w:val="Normal"/>
    <w:next w:val="Normal"/>
    <w:link w:val="TitleChar"/>
    <w:uiPriority w:val="10"/>
    <w:qFormat/>
    <w:rsid w:val="00B32522"/>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32522"/>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B32522"/>
    <w:rPr>
      <w:color w:val="0563C1" w:themeColor="hyperlink"/>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B32522"/>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B32522"/>
    <w:rPr>
      <w:rFonts w:ascii="Times New Roman" w:hAnsi="Times New Roman"/>
      <w:b/>
      <w:bCs/>
      <w:i/>
      <w:iCs/>
      <w:color w:val="5B9BD5" w:themeColor="accent1"/>
      <w:sz w:val="24"/>
      <w:szCs w:val="28"/>
    </w:rPr>
  </w:style>
  <w:style w:type="character" w:customStyle="1" w:styleId="ListParagraphChar">
    <w:name w:val="List Paragraph Char"/>
    <w:basedOn w:val="DefaultParagraphFont"/>
    <w:link w:val="ListParagraph"/>
    <w:uiPriority w:val="34"/>
    <w:rsid w:val="00124D37"/>
    <w:rPr>
      <w:rFonts w:ascii="Times New Roman" w:eastAsiaTheme="minorEastAsia" w:hAnsi="Times New Roman"/>
      <w:sz w:val="28"/>
    </w:rPr>
  </w:style>
  <w:style w:type="paragraph" w:customStyle="1" w:styleId="Footnote">
    <w:name w:val="Footnote"/>
    <w:basedOn w:val="FootnoteText"/>
    <w:link w:val="FootnoteChar"/>
    <w:autoRedefine/>
    <w:qFormat/>
    <w:rsid w:val="000D0E94"/>
    <w:pPr>
      <w:spacing w:before="0" w:after="120" w:line="240" w:lineRule="auto"/>
      <w:ind w:firstLine="0"/>
      <w:contextualSpacing/>
    </w:pPr>
  </w:style>
  <w:style w:type="character" w:customStyle="1" w:styleId="FootnoteChar">
    <w:name w:val="Footnote Char"/>
    <w:basedOn w:val="FootnoteTextChar"/>
    <w:link w:val="Footnote"/>
    <w:rsid w:val="000D0E94"/>
    <w:rPr>
      <w:rFonts w:ascii="Times New Roman" w:hAnsi="Times New Roman" w:cs="Times New Roman"/>
      <w:color w:val="000000"/>
      <w:sz w:val="20"/>
    </w:rPr>
  </w:style>
  <w:style w:type="paragraph" w:styleId="HTMLPreformatted">
    <w:name w:val="HTML Preformatted"/>
    <w:basedOn w:val="Normal"/>
    <w:link w:val="HTMLPreformattedChar"/>
    <w:uiPriority w:val="99"/>
    <w:semiHidden/>
    <w:unhideWhenUsed/>
    <w:rsid w:val="004A3D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textboxTightWrap w:val="none"/>
    </w:pPr>
    <w:rPr>
      <w:rFonts w:ascii="Courier New"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A3D6C"/>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7A7"/>
    <w:pPr>
      <w:widowControl w:val="0"/>
      <w:spacing w:before="120" w:after="240" w:line="480" w:lineRule="auto"/>
      <w:ind w:firstLine="720"/>
      <w:textboxTightWrap w:val="allLines"/>
    </w:pPr>
    <w:rPr>
      <w:rFonts w:ascii="Times New Roman" w:hAnsi="Times New Roman" w:cs="Times New Roman"/>
      <w:color w:val="000000"/>
      <w:sz w:val="24"/>
    </w:rPr>
  </w:style>
  <w:style w:type="paragraph" w:styleId="Heading1">
    <w:name w:val="heading 1"/>
    <w:basedOn w:val="Normal"/>
    <w:next w:val="Normal"/>
    <w:link w:val="Heading1Char"/>
    <w:autoRedefine/>
    <w:uiPriority w:val="9"/>
    <w:qFormat/>
    <w:rsid w:val="008B060C"/>
    <w:pPr>
      <w:keepLines/>
      <w:numPr>
        <w:numId w:val="14"/>
      </w:numPr>
      <w:spacing w:line="360" w:lineRule="auto"/>
      <w:outlineLvl w:val="0"/>
    </w:pPr>
    <w:rPr>
      <w:rFonts w:eastAsiaTheme="majorEastAsia"/>
      <w:b/>
      <w:szCs w:val="32"/>
    </w:rPr>
  </w:style>
  <w:style w:type="paragraph" w:styleId="Heading2">
    <w:name w:val="heading 2"/>
    <w:basedOn w:val="Normal"/>
    <w:next w:val="Normal"/>
    <w:link w:val="Heading2Char"/>
    <w:autoRedefine/>
    <w:uiPriority w:val="9"/>
    <w:unhideWhenUsed/>
    <w:qFormat/>
    <w:rsid w:val="000D0E94"/>
    <w:pPr>
      <w:keepLines/>
      <w:spacing w:after="120" w:line="240" w:lineRule="auto"/>
      <w:ind w:firstLine="0"/>
      <w:outlineLvl w:val="1"/>
    </w:pPr>
    <w:rPr>
      <w:rFonts w:cstheme="majorBidi"/>
      <w:b/>
      <w:bCs/>
      <w:sz w:val="26"/>
      <w:szCs w:val="26"/>
    </w:rPr>
  </w:style>
  <w:style w:type="paragraph" w:styleId="Heading3">
    <w:name w:val="heading 3"/>
    <w:basedOn w:val="Normal"/>
    <w:next w:val="Normal"/>
    <w:link w:val="Heading3Char"/>
    <w:uiPriority w:val="9"/>
    <w:unhideWhenUsed/>
    <w:qFormat/>
    <w:rsid w:val="000D0E94"/>
    <w:pPr>
      <w:spacing w:after="120" w:line="240" w:lineRule="auto"/>
      <w:outlineLvl w:val="2"/>
    </w:pPr>
    <w:rPr>
      <w:b/>
    </w:rPr>
  </w:style>
  <w:style w:type="paragraph" w:styleId="Heading4">
    <w:name w:val="heading 4"/>
    <w:basedOn w:val="Normal"/>
    <w:next w:val="Normal"/>
    <w:link w:val="Heading4Char"/>
    <w:uiPriority w:val="9"/>
    <w:unhideWhenUsed/>
    <w:qFormat/>
    <w:rsid w:val="003A6462"/>
    <w:pPr>
      <w:ind w:left="720"/>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0D0E94"/>
    <w:pPr>
      <w:spacing w:after="120" w:line="240" w:lineRule="auto"/>
      <w:ind w:left="720" w:right="720" w:firstLine="0"/>
    </w:pPr>
    <w:rPr>
      <w:i/>
      <w:iCs/>
      <w:color w:val="404040" w:themeColor="text1" w:themeTint="BF"/>
    </w:rPr>
  </w:style>
  <w:style w:type="character" w:customStyle="1" w:styleId="QuoteChar">
    <w:name w:val="Quote Char"/>
    <w:basedOn w:val="DefaultParagraphFont"/>
    <w:link w:val="Quote"/>
    <w:uiPriority w:val="29"/>
    <w:rsid w:val="000D0E94"/>
    <w:rPr>
      <w:rFonts w:ascii="Times New Roman" w:hAnsi="Times New Roman" w:cs="Times New Roman"/>
      <w:i/>
      <w:iCs/>
      <w:color w:val="404040" w:themeColor="text1" w:themeTint="BF"/>
      <w:sz w:val="24"/>
    </w:rPr>
  </w:style>
  <w:style w:type="character" w:customStyle="1" w:styleId="Heading1Char">
    <w:name w:val="Heading 1 Char"/>
    <w:basedOn w:val="DefaultParagraphFont"/>
    <w:link w:val="Heading1"/>
    <w:uiPriority w:val="9"/>
    <w:rsid w:val="008B060C"/>
    <w:rPr>
      <w:rFonts w:ascii="Times New Roman" w:eastAsiaTheme="majorEastAsia" w:hAnsi="Times New Roman" w:cs="Times New Roman"/>
      <w:b/>
      <w:sz w:val="28"/>
      <w:szCs w:val="32"/>
    </w:rPr>
  </w:style>
  <w:style w:type="character" w:customStyle="1" w:styleId="Heading2Char">
    <w:name w:val="Heading 2 Char"/>
    <w:basedOn w:val="DefaultParagraphFont"/>
    <w:link w:val="Heading2"/>
    <w:uiPriority w:val="9"/>
    <w:rsid w:val="000D0E94"/>
    <w:rPr>
      <w:rFonts w:ascii="Times New Roman" w:hAnsi="Times New Roman" w:cstheme="majorBidi"/>
      <w:b/>
      <w:bCs/>
      <w:color w:val="000000"/>
      <w:sz w:val="26"/>
      <w:szCs w:val="26"/>
    </w:rPr>
  </w:style>
  <w:style w:type="paragraph" w:customStyle="1" w:styleId="NumPara1">
    <w:name w:val="Num Para 1"/>
    <w:basedOn w:val="ListParagraph"/>
    <w:link w:val="NumPara1Char"/>
    <w:autoRedefine/>
    <w:qFormat/>
    <w:rsid w:val="00A351DE"/>
    <w:pPr>
      <w:numPr>
        <w:numId w:val="30"/>
      </w:numPr>
    </w:pPr>
  </w:style>
  <w:style w:type="character" w:customStyle="1" w:styleId="NumPara1Char">
    <w:name w:val="Num Para 1 Char"/>
    <w:basedOn w:val="DefaultParagraphFont"/>
    <w:link w:val="NumPara1"/>
    <w:rsid w:val="00A351DE"/>
    <w:rPr>
      <w:rFonts w:ascii="Times New Roman" w:hAnsi="Times New Roman" w:cs="Times New Roman"/>
      <w:color w:val="000000"/>
      <w:sz w:val="24"/>
    </w:rPr>
  </w:style>
  <w:style w:type="paragraph" w:styleId="ListParagraph">
    <w:name w:val="List Paragraph"/>
    <w:basedOn w:val="Normal"/>
    <w:link w:val="ListParagraphChar"/>
    <w:autoRedefine/>
    <w:uiPriority w:val="34"/>
    <w:qFormat/>
    <w:rsid w:val="00124D37"/>
  </w:style>
  <w:style w:type="paragraph" w:customStyle="1" w:styleId="TOC">
    <w:name w:val="TOC"/>
    <w:basedOn w:val="TOCHeading"/>
    <w:link w:val="TOCChar"/>
    <w:autoRedefine/>
    <w:qFormat/>
    <w:rsid w:val="00B32522"/>
    <w:pPr>
      <w:spacing w:before="120" w:line="240" w:lineRule="auto"/>
    </w:pPr>
    <w:rPr>
      <w:rFonts w:ascii="Times New Roman" w:hAnsi="Times New Roman"/>
      <w:lang w:eastAsia="ja-JP"/>
    </w:rPr>
  </w:style>
  <w:style w:type="character" w:customStyle="1" w:styleId="TOCChar">
    <w:name w:val="TOC Char"/>
    <w:basedOn w:val="DefaultParagraphFont"/>
    <w:link w:val="TOC"/>
    <w:rsid w:val="00B32522"/>
    <w:rPr>
      <w:rFonts w:ascii="Times New Roman" w:eastAsiaTheme="majorEastAsia" w:hAnsi="Times New Roman" w:cstheme="majorBidi"/>
      <w:bCs/>
      <w:color w:val="2E74B5" w:themeColor="accent1" w:themeShade="BF"/>
      <w:sz w:val="24"/>
      <w:szCs w:val="28"/>
      <w:lang w:eastAsia="ja-JP"/>
    </w:rPr>
  </w:style>
  <w:style w:type="paragraph" w:styleId="TOCHeading">
    <w:name w:val="TOC Heading"/>
    <w:basedOn w:val="Heading1"/>
    <w:next w:val="Normal"/>
    <w:uiPriority w:val="39"/>
    <w:semiHidden/>
    <w:unhideWhenUsed/>
    <w:qFormat/>
    <w:rsid w:val="00B32522"/>
    <w:pPr>
      <w:numPr>
        <w:numId w:val="0"/>
      </w:numPr>
      <w:spacing w:before="480"/>
      <w:outlineLvl w:val="9"/>
    </w:pPr>
    <w:rPr>
      <w:rFonts w:asciiTheme="majorHAnsi" w:hAnsiTheme="majorHAnsi" w:cstheme="majorBidi"/>
      <w:b w:val="0"/>
      <w:bCs/>
      <w:color w:val="2E74B5" w:themeColor="accent1" w:themeShade="BF"/>
      <w:szCs w:val="28"/>
    </w:rPr>
  </w:style>
  <w:style w:type="paragraph" w:styleId="TOC1">
    <w:name w:val="toc 1"/>
    <w:basedOn w:val="Normal"/>
    <w:next w:val="Normal"/>
    <w:autoRedefine/>
    <w:uiPriority w:val="39"/>
    <w:unhideWhenUsed/>
    <w:rsid w:val="00977F59"/>
    <w:rPr>
      <w:b/>
      <w:bCs/>
      <w:caps/>
    </w:rPr>
  </w:style>
  <w:style w:type="paragraph" w:styleId="NoSpacing">
    <w:name w:val="No Spacing"/>
    <w:autoRedefine/>
    <w:uiPriority w:val="1"/>
    <w:qFormat/>
    <w:rsid w:val="00727055"/>
    <w:pPr>
      <w:spacing w:after="120"/>
    </w:pPr>
    <w:rPr>
      <w:rFonts w:ascii="Times New Roman" w:eastAsiaTheme="minorEastAsia" w:hAnsi="Times New Roman"/>
      <w:sz w:val="24"/>
    </w:rPr>
  </w:style>
  <w:style w:type="paragraph" w:customStyle="1" w:styleId="Bullet">
    <w:name w:val="Bullet"/>
    <w:basedOn w:val="NumPara1"/>
    <w:link w:val="BulletChar"/>
    <w:qFormat/>
    <w:rsid w:val="00B32522"/>
    <w:pPr>
      <w:numPr>
        <w:numId w:val="28"/>
      </w:numPr>
    </w:pPr>
  </w:style>
  <w:style w:type="character" w:customStyle="1" w:styleId="BulletChar">
    <w:name w:val="Bullet Char"/>
    <w:basedOn w:val="NumPara1Char"/>
    <w:link w:val="Bullet"/>
    <w:rsid w:val="00B32522"/>
    <w:rPr>
      <w:rFonts w:ascii="Times New Roman" w:hAnsi="Times New Roman" w:cs="Times New Roman"/>
      <w:color w:val="000000"/>
      <w:sz w:val="24"/>
      <w:szCs w:val="28"/>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0D0E94"/>
    <w:rPr>
      <w:rFonts w:ascii="Times New Roman" w:hAnsi="Times New Roman" w:cs="Times New Roman"/>
      <w:b/>
      <w:color w:val="000000"/>
      <w:sz w:val="24"/>
    </w:rPr>
  </w:style>
  <w:style w:type="character" w:customStyle="1" w:styleId="Heading4Char">
    <w:name w:val="Heading 4 Char"/>
    <w:basedOn w:val="DefaultParagraphFont"/>
    <w:link w:val="Heading4"/>
    <w:uiPriority w:val="9"/>
    <w:rsid w:val="003A6462"/>
    <w:rPr>
      <w:rFonts w:ascii="Times New Roman" w:hAnsi="Times New Roman"/>
      <w:b/>
      <w:bCs/>
      <w:i/>
      <w:iCs/>
      <w:sz w:val="24"/>
      <w:szCs w:val="24"/>
    </w:rPr>
  </w:style>
  <w:style w:type="paragraph" w:styleId="FootnoteText">
    <w:name w:val="footnote text"/>
    <w:basedOn w:val="Normal"/>
    <w:link w:val="FootnoteTextChar"/>
    <w:uiPriority w:val="99"/>
    <w:unhideWhenUsed/>
    <w:rsid w:val="00B32522"/>
    <w:rPr>
      <w:sz w:val="20"/>
    </w:rPr>
  </w:style>
  <w:style w:type="character" w:customStyle="1" w:styleId="FootnoteTextChar">
    <w:name w:val="Footnote Text Char"/>
    <w:basedOn w:val="DefaultParagraphFont"/>
    <w:link w:val="FootnoteText"/>
    <w:uiPriority w:val="99"/>
    <w:rsid w:val="00B32522"/>
    <w:rPr>
      <w:rFonts w:ascii="Times New Roman" w:hAnsi="Times New Roman" w:cs="Times New Roman"/>
    </w:rPr>
  </w:style>
  <w:style w:type="paragraph" w:styleId="Header">
    <w:name w:val="header"/>
    <w:basedOn w:val="Normal"/>
    <w:link w:val="HeaderChar"/>
    <w:uiPriority w:val="99"/>
    <w:unhideWhenUsed/>
    <w:rsid w:val="00B32522"/>
    <w:pPr>
      <w:tabs>
        <w:tab w:val="center" w:pos="4680"/>
        <w:tab w:val="right" w:pos="9360"/>
      </w:tabs>
    </w:pPr>
  </w:style>
  <w:style w:type="character" w:customStyle="1" w:styleId="HeaderChar">
    <w:name w:val="Header Char"/>
    <w:basedOn w:val="DefaultParagraphFont"/>
    <w:link w:val="Header"/>
    <w:uiPriority w:val="99"/>
    <w:rsid w:val="00B32522"/>
    <w:rPr>
      <w:rFonts w:ascii="Times New Roman" w:hAnsi="Times New Roman"/>
      <w:sz w:val="24"/>
      <w:szCs w:val="28"/>
    </w:rPr>
  </w:style>
  <w:style w:type="paragraph" w:styleId="Footer">
    <w:name w:val="footer"/>
    <w:basedOn w:val="Normal"/>
    <w:link w:val="FooterChar"/>
    <w:uiPriority w:val="99"/>
    <w:unhideWhenUsed/>
    <w:rsid w:val="00B32522"/>
    <w:rPr>
      <w:sz w:val="20"/>
    </w:rPr>
  </w:style>
  <w:style w:type="character" w:customStyle="1" w:styleId="FooterChar">
    <w:name w:val="Footer Char"/>
    <w:basedOn w:val="DefaultParagraphFont"/>
    <w:link w:val="Footer"/>
    <w:uiPriority w:val="99"/>
    <w:rsid w:val="00B32522"/>
    <w:rPr>
      <w:rFonts w:ascii="Times New Roman" w:hAnsi="Times New Roman" w:cs="Times New Roman"/>
      <w:szCs w:val="28"/>
    </w:rPr>
  </w:style>
  <w:style w:type="character" w:styleId="FootnoteReference">
    <w:name w:val="footnote reference"/>
    <w:basedOn w:val="DefaultParagraphFont"/>
    <w:uiPriority w:val="99"/>
    <w:semiHidden/>
    <w:unhideWhenUsed/>
    <w:rsid w:val="00B32522"/>
    <w:rPr>
      <w:vertAlign w:val="superscript"/>
    </w:rPr>
  </w:style>
  <w:style w:type="character" w:styleId="EndnoteReference">
    <w:name w:val="endnote reference"/>
    <w:basedOn w:val="DefaultParagraphFont"/>
    <w:uiPriority w:val="99"/>
    <w:semiHidden/>
    <w:unhideWhenUsed/>
    <w:rsid w:val="00B32522"/>
    <w:rPr>
      <w:vertAlign w:val="superscript"/>
    </w:rPr>
  </w:style>
  <w:style w:type="paragraph" w:styleId="EndnoteText">
    <w:name w:val="endnote text"/>
    <w:basedOn w:val="Normal"/>
    <w:link w:val="EndnoteTextChar"/>
    <w:uiPriority w:val="99"/>
    <w:semiHidden/>
    <w:unhideWhenUsed/>
    <w:rsid w:val="00B32522"/>
    <w:rPr>
      <w:sz w:val="20"/>
    </w:rPr>
  </w:style>
  <w:style w:type="character" w:customStyle="1" w:styleId="EndnoteTextChar">
    <w:name w:val="Endnote Text Char"/>
    <w:basedOn w:val="DefaultParagraphFont"/>
    <w:link w:val="EndnoteText"/>
    <w:uiPriority w:val="99"/>
    <w:semiHidden/>
    <w:rsid w:val="00B32522"/>
    <w:rPr>
      <w:rFonts w:ascii="Times New Roman" w:hAnsi="Times New Roman"/>
    </w:rPr>
  </w:style>
  <w:style w:type="paragraph" w:styleId="Title">
    <w:name w:val="Title"/>
    <w:basedOn w:val="Normal"/>
    <w:next w:val="Normal"/>
    <w:link w:val="TitleChar"/>
    <w:uiPriority w:val="10"/>
    <w:qFormat/>
    <w:rsid w:val="00B32522"/>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32522"/>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B32522"/>
    <w:rPr>
      <w:color w:val="0563C1" w:themeColor="hyperlink"/>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B32522"/>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B32522"/>
    <w:rPr>
      <w:rFonts w:ascii="Times New Roman" w:hAnsi="Times New Roman"/>
      <w:b/>
      <w:bCs/>
      <w:i/>
      <w:iCs/>
      <w:color w:val="5B9BD5" w:themeColor="accent1"/>
      <w:sz w:val="24"/>
      <w:szCs w:val="28"/>
    </w:rPr>
  </w:style>
  <w:style w:type="character" w:customStyle="1" w:styleId="ListParagraphChar">
    <w:name w:val="List Paragraph Char"/>
    <w:basedOn w:val="DefaultParagraphFont"/>
    <w:link w:val="ListParagraph"/>
    <w:uiPriority w:val="34"/>
    <w:rsid w:val="00124D37"/>
    <w:rPr>
      <w:rFonts w:ascii="Times New Roman" w:eastAsiaTheme="minorEastAsia" w:hAnsi="Times New Roman"/>
      <w:sz w:val="28"/>
    </w:rPr>
  </w:style>
  <w:style w:type="paragraph" w:customStyle="1" w:styleId="Footnote">
    <w:name w:val="Footnote"/>
    <w:basedOn w:val="FootnoteText"/>
    <w:link w:val="FootnoteChar"/>
    <w:autoRedefine/>
    <w:qFormat/>
    <w:rsid w:val="000D0E94"/>
    <w:pPr>
      <w:spacing w:before="0" w:after="120" w:line="240" w:lineRule="auto"/>
      <w:ind w:firstLine="0"/>
      <w:contextualSpacing/>
    </w:pPr>
  </w:style>
  <w:style w:type="character" w:customStyle="1" w:styleId="FootnoteChar">
    <w:name w:val="Footnote Char"/>
    <w:basedOn w:val="FootnoteTextChar"/>
    <w:link w:val="Footnote"/>
    <w:rsid w:val="000D0E94"/>
    <w:rPr>
      <w:rFonts w:ascii="Times New Roman" w:hAnsi="Times New Roman" w:cs="Times New Roman"/>
      <w:color w:val="000000"/>
      <w:sz w:val="20"/>
    </w:rPr>
  </w:style>
  <w:style w:type="paragraph" w:styleId="HTMLPreformatted">
    <w:name w:val="HTML Preformatted"/>
    <w:basedOn w:val="Normal"/>
    <w:link w:val="HTMLPreformattedChar"/>
    <w:uiPriority w:val="99"/>
    <w:semiHidden/>
    <w:unhideWhenUsed/>
    <w:rsid w:val="004A3D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textboxTightWrap w:val="none"/>
    </w:pPr>
    <w:rPr>
      <w:rFonts w:ascii="Courier New"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A3D6C"/>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136209">
      <w:bodyDiv w:val="1"/>
      <w:marLeft w:val="0"/>
      <w:marRight w:val="0"/>
      <w:marTop w:val="0"/>
      <w:marBottom w:val="0"/>
      <w:divBdr>
        <w:top w:val="none" w:sz="0" w:space="0" w:color="auto"/>
        <w:left w:val="none" w:sz="0" w:space="0" w:color="auto"/>
        <w:bottom w:val="none" w:sz="0" w:space="0" w:color="auto"/>
        <w:right w:val="none" w:sz="0" w:space="0" w:color="auto"/>
      </w:divBdr>
    </w:div>
    <w:div w:id="177485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setext.com/case/dailey-v-mcafee?jxs=txcode,txregs,txrules,txsct,txapp,txappciv&amp;p=1&amp;q=&amp;sort=relevance&amp;type=cas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551</Words>
  <Characters>2986</Characters>
  <Application>Microsoft Office Word</Application>
  <DocSecurity>0</DocSecurity>
  <Lines>62</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dc:creator>
  <cp:lastModifiedBy>Rik</cp:lastModifiedBy>
  <cp:revision>2</cp:revision>
  <dcterms:created xsi:type="dcterms:W3CDTF">2022-07-04T17:19:00Z</dcterms:created>
  <dcterms:modified xsi:type="dcterms:W3CDTF">2022-07-04T17:19:00Z</dcterms:modified>
</cp:coreProperties>
</file>