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29" w:rsidRDefault="00041E29" w:rsidP="00041E29">
      <w:pPr>
        <w:pStyle w:val="LegalHeading"/>
        <w:keepNext/>
        <w:jc w:val="center"/>
      </w:pPr>
      <w:r>
        <w:t>NO. 412,249-401</w:t>
      </w:r>
    </w:p>
    <w:p w:rsidR="00041E29" w:rsidRDefault="00041E29" w:rsidP="00041E29">
      <w:pPr>
        <w:pStyle w:val="LegalHeading"/>
        <w:keepNext/>
      </w:pPr>
      <w:r>
        <w:t xml:space="preserve">CARL HENRY BRUNSTING, </w:t>
      </w:r>
      <w:r>
        <w:tab/>
      </w:r>
      <w:r>
        <w:tab/>
        <w:t xml:space="preserve">§ </w:t>
      </w:r>
      <w:r>
        <w:tab/>
        <w:t>IN PROBATE COURT</w:t>
      </w:r>
    </w:p>
    <w:p w:rsidR="00041E29" w:rsidRDefault="00041E29" w:rsidP="00041E29">
      <w:pPr>
        <w:pStyle w:val="LegalHeading"/>
        <w:keepNext/>
      </w:pPr>
      <w:r>
        <w:t>INDIVIDUALLY AND AS</w:t>
      </w:r>
      <w:r>
        <w:tab/>
      </w:r>
      <w:r>
        <w:tab/>
      </w:r>
      <w:r>
        <w:tab/>
        <w:t xml:space="preserve">§ </w:t>
      </w:r>
    </w:p>
    <w:p w:rsidR="00041E29" w:rsidRDefault="00041E29" w:rsidP="00041E29">
      <w:pPr>
        <w:pStyle w:val="LegalHeading"/>
        <w:keepNext/>
      </w:pPr>
      <w:r>
        <w:t xml:space="preserve">INDEPENDENT EXECUTOR OF THE </w:t>
      </w:r>
      <w:r>
        <w:tab/>
        <w:t>§</w:t>
      </w:r>
    </w:p>
    <w:p w:rsidR="00041E29" w:rsidRDefault="00041E29" w:rsidP="00041E29">
      <w:pPr>
        <w:pStyle w:val="LegalHeading"/>
        <w:keepNext/>
      </w:pPr>
      <w:r>
        <w:t xml:space="preserve">ESTATES OF ELMER H. BRUNSTING </w:t>
      </w:r>
      <w:r>
        <w:tab/>
        <w:t>§</w:t>
      </w:r>
    </w:p>
    <w:p w:rsidR="00041E29" w:rsidRDefault="00041E29" w:rsidP="00041E29">
      <w:pPr>
        <w:pStyle w:val="LegalHeading"/>
        <w:keepNext/>
      </w:pPr>
      <w:r>
        <w:t>AND NELVA E. BRUNSTING</w:t>
      </w:r>
      <w:r>
        <w:tab/>
      </w:r>
      <w:r>
        <w:tab/>
        <w:t>§</w:t>
      </w:r>
      <w:r>
        <w:tab/>
        <w:t>NUMBER FOUR (4)</w:t>
      </w:r>
    </w:p>
    <w:p w:rsidR="00041E29" w:rsidRDefault="00041E29" w:rsidP="00041E29">
      <w:pPr>
        <w:pStyle w:val="LegalHeading"/>
        <w:keepNext/>
      </w:pPr>
      <w:r>
        <w:tab/>
      </w:r>
      <w:r>
        <w:tab/>
      </w:r>
      <w:r>
        <w:tab/>
      </w:r>
      <w:r>
        <w:tab/>
      </w:r>
      <w:r>
        <w:tab/>
      </w:r>
      <w:r>
        <w:tab/>
        <w:t>§</w:t>
      </w:r>
    </w:p>
    <w:p w:rsidR="00041E29" w:rsidRDefault="00041E29" w:rsidP="00041E29">
      <w:pPr>
        <w:pStyle w:val="LegalHeading"/>
        <w:keepNext/>
      </w:pPr>
      <w:proofErr w:type="gramStart"/>
      <w:r>
        <w:t>vs</w:t>
      </w:r>
      <w:proofErr w:type="gramEnd"/>
      <w:r>
        <w:t xml:space="preserve">. </w:t>
      </w:r>
      <w:r>
        <w:tab/>
      </w:r>
      <w:r>
        <w:tab/>
      </w:r>
      <w:r>
        <w:tab/>
      </w:r>
      <w:r>
        <w:tab/>
      </w:r>
      <w:r>
        <w:tab/>
      </w:r>
      <w:r>
        <w:tab/>
        <w:t xml:space="preserve">§ </w:t>
      </w:r>
      <w:r>
        <w:tab/>
      </w:r>
    </w:p>
    <w:p w:rsidR="00041E29" w:rsidRDefault="00041E29" w:rsidP="00041E29">
      <w:pPr>
        <w:pStyle w:val="LegalHeading"/>
        <w:keepNext/>
        <w:ind w:left="4320"/>
      </w:pPr>
      <w:r>
        <w:t>§</w:t>
      </w:r>
    </w:p>
    <w:p w:rsidR="00041E29" w:rsidRDefault="00041E29" w:rsidP="00041E29">
      <w:pPr>
        <w:pStyle w:val="LegalHeading"/>
        <w:keepNext/>
      </w:pPr>
      <w:r>
        <w:t>ANITA KAY BRUNSTING f/k/a</w:t>
      </w:r>
      <w:r>
        <w:tab/>
      </w:r>
      <w:r>
        <w:tab/>
        <w:t xml:space="preserve">§ </w:t>
      </w:r>
      <w:r>
        <w:tab/>
        <w:t>HARRIS COUNTY, TEXAS</w:t>
      </w:r>
    </w:p>
    <w:p w:rsidR="00041E29" w:rsidRDefault="00041E29" w:rsidP="00041E29">
      <w:pPr>
        <w:pStyle w:val="LegalHeading"/>
        <w:keepNext/>
      </w:pPr>
      <w:r>
        <w:t>ANITA KAY RILEY, individually,</w:t>
      </w:r>
      <w:r>
        <w:tab/>
      </w:r>
      <w:r>
        <w:tab/>
        <w:t>§</w:t>
      </w:r>
    </w:p>
    <w:p w:rsidR="00041E29" w:rsidRDefault="00041E29" w:rsidP="00041E29">
      <w:pPr>
        <w:pStyle w:val="LegalHeading"/>
        <w:keepNext/>
      </w:pPr>
      <w:proofErr w:type="gramStart"/>
      <w:r>
        <w:t>as</w:t>
      </w:r>
      <w:proofErr w:type="gramEnd"/>
      <w:r>
        <w:t xml:space="preserve"> attorney-in-fact for Nelva E. Brunsting,</w:t>
      </w:r>
      <w:r>
        <w:tab/>
        <w:t>§</w:t>
      </w:r>
    </w:p>
    <w:p w:rsidR="00041E29" w:rsidRDefault="00041E29" w:rsidP="00041E29">
      <w:pPr>
        <w:pStyle w:val="LegalHeading"/>
        <w:keepNext/>
      </w:pPr>
      <w:proofErr w:type="gramStart"/>
      <w:r>
        <w:t>and</w:t>
      </w:r>
      <w:proofErr w:type="gramEnd"/>
      <w:r>
        <w:t xml:space="preserve"> as Successor Trustee of the Brunsting</w:t>
      </w:r>
      <w:r>
        <w:tab/>
        <w:t>§</w:t>
      </w:r>
    </w:p>
    <w:p w:rsidR="00041E29" w:rsidRDefault="00041E29" w:rsidP="00041E29">
      <w:pPr>
        <w:pStyle w:val="LegalHeading"/>
        <w:keepNext/>
      </w:pPr>
      <w:proofErr w:type="gramStart"/>
      <w:r>
        <w:t>Family Living Trust, the Elmer H.</w:t>
      </w:r>
      <w:proofErr w:type="gramEnd"/>
      <w:r>
        <w:tab/>
      </w:r>
      <w:r>
        <w:tab/>
        <w:t>§</w:t>
      </w:r>
    </w:p>
    <w:p w:rsidR="00041E29" w:rsidRDefault="00041E29" w:rsidP="00041E29">
      <w:pPr>
        <w:pStyle w:val="LegalHeading"/>
        <w:keepNext/>
      </w:pPr>
      <w:r>
        <w:t>Brunsting Decedent's Trust, the</w:t>
      </w:r>
      <w:r>
        <w:tab/>
      </w:r>
      <w:r>
        <w:tab/>
        <w:t>§</w:t>
      </w:r>
    </w:p>
    <w:p w:rsidR="00041E29" w:rsidRDefault="00041E29" w:rsidP="00041E29">
      <w:pPr>
        <w:pStyle w:val="LegalHeading"/>
        <w:keepNext/>
      </w:pPr>
      <w:r>
        <w:t>Nelva E. Brunsting Survivor's Trust,</w:t>
      </w:r>
      <w:r>
        <w:tab/>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Anita Kay Brunsting</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AMY RUTH BRUNSTING f/k/a</w:t>
      </w:r>
      <w:r>
        <w:tab/>
      </w:r>
      <w:r>
        <w:tab/>
        <w:t>§</w:t>
      </w:r>
    </w:p>
    <w:p w:rsidR="00041E29" w:rsidRDefault="00041E29" w:rsidP="00041E29">
      <w:pPr>
        <w:pStyle w:val="LegalHeading"/>
        <w:keepNext/>
      </w:pPr>
      <w:r>
        <w:t>AMY RUTH TSCHIRHART,</w:t>
      </w:r>
      <w:r>
        <w:tab/>
      </w:r>
      <w:r>
        <w:tab/>
        <w:t>§</w:t>
      </w:r>
    </w:p>
    <w:p w:rsidR="00041E29" w:rsidRDefault="00041E29" w:rsidP="00041E29">
      <w:pPr>
        <w:pStyle w:val="LegalHeading"/>
        <w:keepNext/>
      </w:pPr>
      <w:proofErr w:type="gramStart"/>
      <w:r>
        <w:t>individually</w:t>
      </w:r>
      <w:proofErr w:type="gramEnd"/>
      <w:r>
        <w:t xml:space="preserve"> and as Successor Trustee</w:t>
      </w:r>
      <w:r>
        <w:tab/>
        <w:t>§</w:t>
      </w:r>
    </w:p>
    <w:p w:rsidR="00041E29" w:rsidRDefault="00041E29" w:rsidP="00041E29">
      <w:pPr>
        <w:pStyle w:val="LegalHeading"/>
        <w:keepNext/>
      </w:pPr>
      <w:proofErr w:type="gramStart"/>
      <w:r>
        <w:t>of</w:t>
      </w:r>
      <w:proofErr w:type="gramEnd"/>
      <w:r>
        <w:t xml:space="preserve"> the Brunsting Family Living Trust,</w:t>
      </w:r>
      <w:r>
        <w:tab/>
        <w:t>§</w:t>
      </w:r>
    </w:p>
    <w:p w:rsidR="00041E29" w:rsidRDefault="00041E29" w:rsidP="00041E29">
      <w:pPr>
        <w:pStyle w:val="LegalHeading"/>
        <w:keepNext/>
      </w:pPr>
      <w:proofErr w:type="gramStart"/>
      <w:r>
        <w:t>the</w:t>
      </w:r>
      <w:proofErr w:type="gramEnd"/>
      <w:r>
        <w:t xml:space="preserve"> Elmer H. Brunsting Decedent’s Trust,</w:t>
      </w:r>
      <w:r>
        <w:tab/>
        <w:t>§</w:t>
      </w:r>
    </w:p>
    <w:p w:rsidR="00041E29" w:rsidRDefault="00041E29" w:rsidP="00041E29">
      <w:pPr>
        <w:pStyle w:val="LegalHeading"/>
        <w:keepNext/>
      </w:pPr>
      <w:proofErr w:type="gramStart"/>
      <w:r>
        <w:t>the</w:t>
      </w:r>
      <w:proofErr w:type="gramEnd"/>
      <w:r>
        <w:t xml:space="preserve"> Nelva E. Brunsting Survivor's Trust,</w:t>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Amy Ruth Tschirhart</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 xml:space="preserve">CAROLE ANN BRUNSTING, </w:t>
      </w:r>
      <w:r>
        <w:tab/>
      </w:r>
      <w:r>
        <w:tab/>
        <w:t xml:space="preserve">§ </w:t>
      </w:r>
    </w:p>
    <w:p w:rsidR="00041E29" w:rsidRDefault="00041E29" w:rsidP="00041E29">
      <w:pPr>
        <w:pStyle w:val="LegalHeading"/>
        <w:keepNext/>
      </w:pPr>
      <w:r>
        <w:t xml:space="preserve">Individually and as Trustee of the </w:t>
      </w:r>
      <w:r>
        <w:tab/>
      </w:r>
      <w:r>
        <w:tab/>
        <w:t>§</w:t>
      </w:r>
    </w:p>
    <w:p w:rsidR="00041E29" w:rsidRDefault="00041E29" w:rsidP="00041E29">
      <w:pPr>
        <w:pStyle w:val="LegalHeading"/>
        <w:keepNext/>
      </w:pPr>
      <w:r>
        <w:t>Carole Ann Brunsting Personal Asset Trust;</w:t>
      </w:r>
      <w:r>
        <w:tab/>
        <w:t>§</w:t>
      </w:r>
    </w:p>
    <w:p w:rsidR="00041E29" w:rsidRDefault="00041E29" w:rsidP="00041E29">
      <w:pPr>
        <w:pStyle w:val="LegalHeading"/>
        <w:keepNext/>
      </w:pPr>
      <w:proofErr w:type="gramStart"/>
      <w:r>
        <w:t>and</w:t>
      </w:r>
      <w:proofErr w:type="gramEnd"/>
      <w:r>
        <w:t xml:space="preserve"> as a nominal defendant only,</w:t>
      </w:r>
      <w:r>
        <w:tab/>
      </w:r>
      <w:r>
        <w:tab/>
        <w:t>§</w:t>
      </w:r>
    </w:p>
    <w:p w:rsidR="00041E29" w:rsidRDefault="00041E29" w:rsidP="00041E29">
      <w:pPr>
        <w:pStyle w:val="LegalHeading"/>
        <w:keepNext/>
        <w:pBdr>
          <w:bottom w:val="single" w:sz="4" w:space="1" w:color="auto"/>
        </w:pBdr>
      </w:pPr>
      <w:r>
        <w:t>CANDACE LOUISE CURTIS</w:t>
      </w:r>
      <w:r>
        <w:tab/>
      </w:r>
      <w:r>
        <w:tab/>
        <w:t>§</w:t>
      </w:r>
    </w:p>
    <w:p w:rsidR="00C95618" w:rsidRDefault="00041E29" w:rsidP="0042112E">
      <w:pPr>
        <w:pStyle w:val="Heading2"/>
      </w:pPr>
      <w:r>
        <w:t xml:space="preserve">Notice of Special Appearance; </w:t>
      </w:r>
      <w:r w:rsidR="004855D2" w:rsidRPr="004855D2">
        <w:t xml:space="preserve">Motion to </w:t>
      </w:r>
      <w:r>
        <w:t>D</w:t>
      </w:r>
      <w:r w:rsidR="004855D2" w:rsidRPr="004855D2">
        <w:t>ismiss for want of Jurisdiction</w:t>
      </w:r>
    </w:p>
    <w:p w:rsidR="003029E6" w:rsidRDefault="00EC7C1C" w:rsidP="00920355">
      <w:pPr>
        <w:pStyle w:val="NumPara1"/>
      </w:pPr>
      <w:r>
        <w:t xml:space="preserve">Pro se </w:t>
      </w:r>
      <w:r w:rsidR="00F22745">
        <w:t>Andrew Curtis, appearing specially and not generally</w:t>
      </w:r>
      <w:r w:rsidR="00234916">
        <w:t xml:space="preserve">, </w:t>
      </w:r>
      <w:r w:rsidR="00171C43">
        <w:t xml:space="preserve">herein </w:t>
      </w:r>
      <w:r w:rsidR="00F22745">
        <w:t>challeng</w:t>
      </w:r>
      <w:r w:rsidR="00234916">
        <w:t>es</w:t>
      </w:r>
      <w:r w:rsidR="00F22745">
        <w:t xml:space="preserve"> </w:t>
      </w:r>
      <w:r w:rsidR="00AF46D4">
        <w:t>personam and</w:t>
      </w:r>
      <w:r w:rsidR="00F22745">
        <w:t xml:space="preserve"> </w:t>
      </w:r>
      <w:r w:rsidR="001610B2">
        <w:t xml:space="preserve">subject matter </w:t>
      </w:r>
      <w:r w:rsidR="00F22745">
        <w:t>jurisdiction of this court to</w:t>
      </w:r>
      <w:r w:rsidR="001610B2">
        <w:t xml:space="preserve"> hear or determine any matter related to the Brunsting Family Living Trust.</w:t>
      </w:r>
    </w:p>
    <w:p w:rsidR="00A15962" w:rsidRDefault="00A15962" w:rsidP="00A15962">
      <w:pPr>
        <w:pStyle w:val="Heading1"/>
      </w:pPr>
      <w:r>
        <w:lastRenderedPageBreak/>
        <w:t>STANDING</w:t>
      </w:r>
    </w:p>
    <w:p w:rsidR="00C966F0" w:rsidRDefault="009B506A" w:rsidP="00920355">
      <w:pPr>
        <w:pStyle w:val="NumPara1"/>
      </w:pPr>
      <w:r>
        <w:t xml:space="preserve">Movant is an “interested person” within the meaning of Texas Property Code Section 111.004(7). </w:t>
      </w:r>
      <w:r w:rsidR="00644C92">
        <w:t xml:space="preserve"> </w:t>
      </w:r>
      <w:r w:rsidR="00796E56">
        <w:t xml:space="preserve">Family Living Trust settlors Elmer H. Brunsting and Nelva E. Brunsting were </w:t>
      </w:r>
      <w:r w:rsidR="006D38A3">
        <w:t>Movant’s</w:t>
      </w:r>
      <w:r w:rsidR="00796E56">
        <w:t xml:space="preserve"> grandparents and </w:t>
      </w:r>
      <w:r w:rsidR="006D38A3">
        <w:t>his</w:t>
      </w:r>
      <w:r w:rsidR="00796E56">
        <w:t xml:space="preserve"> interests </w:t>
      </w:r>
      <w:r w:rsidR="00A15962">
        <w:t xml:space="preserve">as a successor beneficiary </w:t>
      </w:r>
      <w:r w:rsidR="00796E56">
        <w:t xml:space="preserve">are protected under the terms of the unsoiled Brunsting Family Living Trust which includes only the </w:t>
      </w:r>
      <w:r w:rsidR="00796E56" w:rsidRPr="00644C92">
        <w:rPr>
          <w:b/>
        </w:rPr>
        <w:t>2005 Restatement as amended in 2007</w:t>
      </w:r>
      <w:r w:rsidR="00796E56">
        <w:t>.</w:t>
      </w:r>
      <w:r w:rsidR="00041E29">
        <w:t xml:space="preserve"> </w:t>
      </w:r>
      <w:r w:rsidR="006D38A3">
        <w:t>Movant’s</w:t>
      </w:r>
      <w:r w:rsidR="007F2B48">
        <w:t xml:space="preserve"> mother, Candace Curtis</w:t>
      </w:r>
      <w:r w:rsidR="006D38A3">
        <w:t>,</w:t>
      </w:r>
      <w:r w:rsidR="007F2B48">
        <w:t xml:space="preserve"> is the lawful trustee.</w:t>
      </w:r>
    </w:p>
    <w:p w:rsidR="00A15962" w:rsidRDefault="00A15962" w:rsidP="00A15962">
      <w:pPr>
        <w:pStyle w:val="Heading1"/>
      </w:pPr>
      <w:r>
        <w:t>Relevant Facts</w:t>
      </w:r>
    </w:p>
    <w:p w:rsidR="00642CC9" w:rsidRDefault="00C966F0" w:rsidP="00920355">
      <w:pPr>
        <w:pStyle w:val="NumPara1"/>
      </w:pPr>
      <w:r>
        <w:t>Please take judicial notice of the record</w:t>
      </w:r>
      <w:r w:rsidR="003029E6">
        <w:t xml:space="preserve"> in</w:t>
      </w:r>
      <w:r w:rsidR="00A15962">
        <w:t xml:space="preserve"> the Estate of Elmer H. Brunsting No.</w:t>
      </w:r>
      <w:r w:rsidR="003029E6">
        <w:t xml:space="preserve"> 412</w:t>
      </w:r>
      <w:r w:rsidR="00A15962">
        <w:t>,</w:t>
      </w:r>
      <w:r w:rsidR="003029E6">
        <w:t>24</w:t>
      </w:r>
      <w:r w:rsidR="00A15962">
        <w:t>8</w:t>
      </w:r>
      <w:r w:rsidR="00BF7B57">
        <w:t>. P</w:t>
      </w:r>
      <w:r w:rsidR="008F799B">
        <w:t xml:space="preserve">lease </w:t>
      </w:r>
      <w:r w:rsidR="00BF7B57">
        <w:t xml:space="preserve">also </w:t>
      </w:r>
      <w:r w:rsidR="008F799B">
        <w:t xml:space="preserve">take judicial notice of the record </w:t>
      </w:r>
      <w:r w:rsidR="00A15962">
        <w:t>in the Estate of Nelva E. Brunsting No. 412,249</w:t>
      </w:r>
      <w:r w:rsidR="00642CC9">
        <w:t>.</w:t>
      </w:r>
    </w:p>
    <w:p w:rsidR="0055364E" w:rsidRPr="006D38A3" w:rsidRDefault="001610B2" w:rsidP="00920355">
      <w:pPr>
        <w:pStyle w:val="NumPara1"/>
      </w:pPr>
      <w:r>
        <w:t>Elmer H. Brunsting and Nelva E. Brunsting</w:t>
      </w:r>
      <w:r w:rsidR="00C966F0">
        <w:t>’s</w:t>
      </w:r>
      <w:r>
        <w:t xml:space="preserve"> </w:t>
      </w:r>
      <w:r w:rsidR="00A15962">
        <w:t>estate plan i</w:t>
      </w:r>
      <w:r>
        <w:t xml:space="preserve">s comprised of wills directing </w:t>
      </w:r>
      <w:r w:rsidRPr="006D38A3">
        <w:rPr>
          <w:b/>
          <w:u w:val="single"/>
        </w:rPr>
        <w:t>independent administration</w:t>
      </w:r>
      <w:r>
        <w:t xml:space="preserve"> that were to pour-over into the </w:t>
      </w:r>
      <w:r w:rsidR="0055364E">
        <w:t>sole devisee</w:t>
      </w:r>
      <w:r w:rsidR="00D37A08">
        <w:t>,</w:t>
      </w:r>
      <w:r w:rsidR="0055364E">
        <w:t xml:space="preserve"> </w:t>
      </w:r>
      <w:r w:rsidR="00D37A08">
        <w:t xml:space="preserve">inter vivos </w:t>
      </w:r>
      <w:r w:rsidR="0055364E">
        <w:t>t</w:t>
      </w:r>
      <w:r>
        <w:t>rust</w:t>
      </w:r>
      <w:r w:rsidR="00D37A08">
        <w:t>,</w:t>
      </w:r>
      <w:r w:rsidR="00C966F0">
        <w:t xml:space="preserve"> at their passing. </w:t>
      </w:r>
      <w:r w:rsidR="00C966F0" w:rsidRPr="006D38A3">
        <w:t xml:space="preserve">Elmer </w:t>
      </w:r>
      <w:r w:rsidR="008F799B" w:rsidRPr="006D38A3">
        <w:t xml:space="preserve">H. </w:t>
      </w:r>
      <w:r w:rsidR="00C966F0" w:rsidRPr="006D38A3">
        <w:t xml:space="preserve">Brunsting passed on April 1, 2009 and Nelva </w:t>
      </w:r>
      <w:r w:rsidR="0055364E" w:rsidRPr="006D38A3">
        <w:t xml:space="preserve">E. </w:t>
      </w:r>
      <w:r w:rsidR="00C966F0" w:rsidRPr="006D38A3">
        <w:t xml:space="preserve">Brunsting passed November 11, 2011. </w:t>
      </w:r>
    </w:p>
    <w:p w:rsidR="00AB3F1F" w:rsidRPr="00AB3F1F" w:rsidRDefault="00C966F0" w:rsidP="00920355">
      <w:pPr>
        <w:pStyle w:val="NumPara1"/>
      </w:pPr>
      <w:r w:rsidRPr="00C966F0">
        <w:t xml:space="preserve">The record will show that </w:t>
      </w:r>
      <w:r w:rsidR="0055364E">
        <w:t xml:space="preserve">the </w:t>
      </w:r>
      <w:r w:rsidR="0055364E" w:rsidRPr="00D37A08">
        <w:t>will</w:t>
      </w:r>
      <w:r w:rsidR="00BF7B57" w:rsidRPr="00D37A08">
        <w:t>s</w:t>
      </w:r>
      <w:r w:rsidR="0055364E" w:rsidRPr="00D37A08">
        <w:t xml:space="preserve"> of Elmer H. Brunsting [No. 412248] and Nelva E. Brunsting</w:t>
      </w:r>
      <w:r w:rsidR="0055364E">
        <w:t xml:space="preserve"> [No. 412249] were </w:t>
      </w:r>
      <w:r w:rsidR="009F5C6F">
        <w:t xml:space="preserve">both </w:t>
      </w:r>
      <w:r w:rsidR="0055364E">
        <w:t xml:space="preserve">admitted to probate August 12, 2012 and </w:t>
      </w:r>
      <w:r w:rsidR="009F5C6F">
        <w:t xml:space="preserve">that </w:t>
      </w:r>
      <w:r w:rsidRPr="00C966F0">
        <w:t>letters testamentary for</w:t>
      </w:r>
      <w:r w:rsidR="00753601">
        <w:t xml:space="preserve"> the</w:t>
      </w:r>
      <w:r w:rsidRPr="00C966F0">
        <w:t xml:space="preserve"> </w:t>
      </w:r>
      <w:r w:rsidR="00A15962" w:rsidRPr="00D37A08">
        <w:rPr>
          <w:u w:val="single"/>
        </w:rPr>
        <w:t>Independent Administration</w:t>
      </w:r>
      <w:r w:rsidR="00A15962">
        <w:t xml:space="preserve"> </w:t>
      </w:r>
      <w:r w:rsidR="009F5C6F">
        <w:t>of both pour-over estates</w:t>
      </w:r>
      <w:r w:rsidRPr="00C966F0">
        <w:t xml:space="preserve"> were issued </w:t>
      </w:r>
      <w:r w:rsidR="0055364E">
        <w:t xml:space="preserve">to Carl Henry Brunsting on </w:t>
      </w:r>
      <w:r w:rsidRPr="00C966F0">
        <w:t>August 28, 2012</w:t>
      </w:r>
      <w:r w:rsidR="004855D2">
        <w:t>.</w:t>
      </w:r>
    </w:p>
    <w:p w:rsidR="00005EE5" w:rsidRDefault="00496459" w:rsidP="00920355">
      <w:pPr>
        <w:pStyle w:val="NumPara1"/>
      </w:pPr>
      <w:hyperlink r:id="rId9" w:history="1">
        <w:r w:rsidR="00EC7387" w:rsidRPr="003E017D">
          <w:rPr>
            <w:rStyle w:val="Hyperlink"/>
            <w:b/>
          </w:rPr>
          <w:t>Verified inventories, appraisements, and lists of claims</w:t>
        </w:r>
      </w:hyperlink>
      <w:r w:rsidR="00EC7387" w:rsidRPr="00C966F0">
        <w:t xml:space="preserve"> </w:t>
      </w:r>
      <w:r w:rsidR="00EC7387">
        <w:t>were</w:t>
      </w:r>
      <w:r w:rsidR="00EC7387" w:rsidRPr="00C966F0">
        <w:t xml:space="preserve"> filed </w:t>
      </w:r>
      <w:r w:rsidR="00EC7387">
        <w:t xml:space="preserve">in both estates </w:t>
      </w:r>
      <w:r w:rsidR="00EC7387" w:rsidRPr="00C966F0">
        <w:t xml:space="preserve">by the independent executor </w:t>
      </w:r>
      <w:r w:rsidR="00EC7387">
        <w:t xml:space="preserve">on </w:t>
      </w:r>
      <w:r w:rsidR="00EC7387" w:rsidRPr="00C966F0">
        <w:t>Ma</w:t>
      </w:r>
      <w:r w:rsidR="00EC7387">
        <w:t>r</w:t>
      </w:r>
      <w:r w:rsidR="00EC7387" w:rsidRPr="00C966F0">
        <w:t>ch 2</w:t>
      </w:r>
      <w:r w:rsidR="00EC7387">
        <w:t>6</w:t>
      </w:r>
      <w:r w:rsidR="00EC7387" w:rsidRPr="00C966F0">
        <w:t xml:space="preserve">, 2013 and </w:t>
      </w:r>
      <w:hyperlink r:id="rId10" w:history="1">
        <w:r w:rsidR="00EC7387" w:rsidRPr="003E017D">
          <w:rPr>
            <w:rStyle w:val="Hyperlink"/>
            <w:b/>
          </w:rPr>
          <w:t>approved by the probate court</w:t>
        </w:r>
      </w:hyperlink>
      <w:r w:rsidR="00EC7387" w:rsidRPr="00C966F0">
        <w:t xml:space="preserve"> April 5, 2013</w:t>
      </w:r>
      <w:r w:rsidR="00EC7387">
        <w:t>. Drop Orders were issued on Apr</w:t>
      </w:r>
      <w:r w:rsidR="009A5B11">
        <w:t>il 4, 2013</w:t>
      </w:r>
      <w:r w:rsidR="00642CC9">
        <w:t xml:space="preserve"> removing both estates from the active docket</w:t>
      </w:r>
      <w:r w:rsidR="009A5B11">
        <w:t xml:space="preserve">. </w:t>
      </w:r>
    </w:p>
    <w:p w:rsidR="00BF7B57" w:rsidRDefault="00D71F75" w:rsidP="00920355">
      <w:pPr>
        <w:pStyle w:val="NumPara1"/>
      </w:pPr>
      <w:r>
        <w:lastRenderedPageBreak/>
        <w:t xml:space="preserve">As of </w:t>
      </w:r>
      <w:r w:rsidRPr="00C966F0">
        <w:t>April 5, 2013</w:t>
      </w:r>
      <w:r>
        <w:t xml:space="preserve"> t</w:t>
      </w:r>
      <w:r w:rsidR="00005EE5">
        <w:t xml:space="preserve">here is no </w:t>
      </w:r>
      <w:r w:rsidRPr="00EC7387">
        <w:t xml:space="preserve">independent administration </w:t>
      </w:r>
      <w:r>
        <w:t xml:space="preserve">of the </w:t>
      </w:r>
      <w:r w:rsidR="00005EE5">
        <w:t>estate of Elmer H. Brunsting and there is</w:t>
      </w:r>
      <w:r>
        <w:t xml:space="preserve"> no</w:t>
      </w:r>
      <w:r w:rsidR="00005EE5">
        <w:t xml:space="preserve"> </w:t>
      </w:r>
      <w:r w:rsidRPr="00EC7387">
        <w:t xml:space="preserve">independent administration </w:t>
      </w:r>
      <w:r w:rsidR="00005EE5">
        <w:t xml:space="preserve">of </w:t>
      </w:r>
      <w:r>
        <w:t xml:space="preserve">the estate of </w:t>
      </w:r>
      <w:r w:rsidR="00005EE5">
        <w:t>Nelva</w:t>
      </w:r>
      <w:r>
        <w:t xml:space="preserve"> E. </w:t>
      </w:r>
      <w:r w:rsidR="00005EE5">
        <w:t xml:space="preserve">Brunsting </w:t>
      </w:r>
      <w:r w:rsidR="00005EE5">
        <w:t>pending in the statutory probate court</w:t>
      </w:r>
      <w:r w:rsidR="00005EE5">
        <w:t xml:space="preserve">. </w:t>
      </w:r>
    </w:p>
    <w:p w:rsidR="00693C71" w:rsidRDefault="00D841A3" w:rsidP="00693C71">
      <w:pPr>
        <w:pStyle w:val="Heading1"/>
      </w:pPr>
      <w:r>
        <w:t>STATUTORY PROBATE JURISDICTION</w:t>
      </w:r>
      <w:r w:rsidR="00D71F75">
        <w:t xml:space="preserve"> OVER INDEPENDENT ADMINISTRATIONS</w:t>
      </w:r>
    </w:p>
    <w:p w:rsidR="00D71F75" w:rsidRDefault="00D71F75" w:rsidP="00D71F75">
      <w:pPr>
        <w:pStyle w:val="NumPara1"/>
      </w:pPr>
      <w:r>
        <w:t xml:space="preserve">Independent administration is </w:t>
      </w:r>
      <w:r>
        <w:t xml:space="preserve">exclusively </w:t>
      </w:r>
      <w:r>
        <w:t>governed under Texas Estates Code Title II Subtitle I Sections 401.001 through 405.012</w:t>
      </w:r>
      <w:r>
        <w:t>.</w:t>
      </w:r>
    </w:p>
    <w:p w:rsidR="00693C71" w:rsidRPr="00EC7387" w:rsidRDefault="00693C71" w:rsidP="00693C71">
      <w:pPr>
        <w:pStyle w:val="NoSpacing"/>
        <w:rPr>
          <w:sz w:val="24"/>
        </w:rPr>
      </w:pPr>
      <w:hyperlink r:id="rId11" w:history="1">
        <w:r w:rsidRPr="003E017D">
          <w:rPr>
            <w:rStyle w:val="Hyperlink"/>
            <w:sz w:val="24"/>
          </w:rPr>
          <w:t>Tex. Est. Code § 402.001</w:t>
        </w:r>
      </w:hyperlink>
      <w:r w:rsidRPr="00EC7387">
        <w:rPr>
          <w:sz w:val="24"/>
        </w:rPr>
        <w:t xml:space="preserve"> - General Scope and Exercise of Powers</w:t>
      </w:r>
    </w:p>
    <w:p w:rsidR="00693C71" w:rsidRDefault="00693C71" w:rsidP="00693C71">
      <w:pPr>
        <w:pStyle w:val="Quote"/>
      </w:pPr>
      <w:r w:rsidRPr="00EC7387">
        <w:t xml:space="preserve">“When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w:t>
      </w:r>
      <w:r w:rsidRPr="006D38A3">
        <w:rPr>
          <w:u w:val="single"/>
        </w:rPr>
        <w:t>as long as the estate is represented by an independent executor, further action of any nature may not be had in the probate court except where this title specifically and explicitly provides for some action in the court.</w:t>
      </w:r>
      <w:r w:rsidRPr="00EC7387">
        <w:t>”</w:t>
      </w:r>
    </w:p>
    <w:p w:rsidR="00693C71" w:rsidRDefault="009A5B11" w:rsidP="00271F79">
      <w:pPr>
        <w:pStyle w:val="NumPara1"/>
      </w:pPr>
      <w:r>
        <w:t>Four days after the verified inventory had been approved; Ca</w:t>
      </w:r>
      <w:r w:rsidR="00693C71">
        <w:t>rl Henry Brunsting filed</w:t>
      </w:r>
      <w:r w:rsidR="00693C71" w:rsidRPr="00C966F0">
        <w:t xml:space="preserve"> </w:t>
      </w:r>
      <w:r w:rsidR="00693C71">
        <w:t>a</w:t>
      </w:r>
      <w:r w:rsidR="00693C71" w:rsidRPr="00C966F0">
        <w:t xml:space="preserve"> </w:t>
      </w:r>
      <w:r w:rsidR="00693C71">
        <w:t>declaratory judgment action</w:t>
      </w:r>
      <w:r>
        <w:t>,</w:t>
      </w:r>
      <w:r w:rsidR="00693C71" w:rsidRPr="00C966F0">
        <w:t xml:space="preserve"> </w:t>
      </w:r>
      <w:r w:rsidR="00693C71">
        <w:t>in his individual capacity and as Independent Executor</w:t>
      </w:r>
      <w:r>
        <w:t>,</w:t>
      </w:r>
      <w:r w:rsidR="00693C71">
        <w:t xml:space="preserve"> under </w:t>
      </w:r>
      <w:r w:rsidR="00693C71">
        <w:rPr>
          <w:sz w:val="23"/>
          <w:szCs w:val="23"/>
        </w:rPr>
        <w:t xml:space="preserve">Chapters 37 of the Texas Civil Practice and Remedies Code and Chapter 115 of the Texas Property Code </w:t>
      </w:r>
      <w:r w:rsidR="00693C71">
        <w:t>related only to the sole devisee trust. [No. 412,249-401]</w:t>
      </w:r>
      <w:r w:rsidR="00271F79">
        <w:t xml:space="preserve"> </w:t>
      </w:r>
      <w:r w:rsidR="00271F79">
        <w:t>Carl Henry Brunsting</w:t>
      </w:r>
      <w:r w:rsidR="00BF7B57">
        <w:t xml:space="preserve">’s </w:t>
      </w:r>
      <w:r w:rsidR="00BF7B57" w:rsidRPr="00C966F0">
        <w:t>April 9, 2013</w:t>
      </w:r>
      <w:r w:rsidR="00BF7B57">
        <w:t xml:space="preserve"> declaratory judgment action fails to even mention the estates code as required by </w:t>
      </w:r>
      <w:r w:rsidR="008540B9" w:rsidRPr="00EC7387">
        <w:t>Tex. Est. Code § 402.001</w:t>
      </w:r>
      <w:r w:rsidR="00BF7B57">
        <w:t xml:space="preserve"> and clearly fails to invoke </w:t>
      </w:r>
      <w:r w:rsidR="008540B9">
        <w:t xml:space="preserve">the </w:t>
      </w:r>
      <w:r w:rsidR="00754E09">
        <w:t xml:space="preserve">subject matter </w:t>
      </w:r>
      <w:r w:rsidR="00BF7B57">
        <w:t xml:space="preserve">jurisdiction </w:t>
      </w:r>
      <w:r w:rsidR="008540B9">
        <w:t>of</w:t>
      </w:r>
      <w:r w:rsidR="00BF7B57">
        <w:t xml:space="preserve"> </w:t>
      </w:r>
      <w:r w:rsidR="008540B9">
        <w:t>a</w:t>
      </w:r>
      <w:r w:rsidR="00BF7B57">
        <w:t xml:space="preserve"> statutory probate court.</w:t>
      </w:r>
      <w:r w:rsidR="00754E09">
        <w:t xml:space="preserve"> </w:t>
      </w:r>
    </w:p>
    <w:p w:rsidR="00F32F39" w:rsidRDefault="005A7232" w:rsidP="00920355">
      <w:pPr>
        <w:pStyle w:val="NumPara1"/>
      </w:pPr>
      <w:r>
        <w:lastRenderedPageBreak/>
        <w:t>W</w:t>
      </w:r>
      <w:r w:rsidR="00F32F39">
        <w:t xml:space="preserve">hile probate is an exception to the one final judgment rule, the 412249-401 action is not a probate case, probate matter or </w:t>
      </w:r>
      <w:r w:rsidR="009A5B11">
        <w:t xml:space="preserve">probate proceeding as </w:t>
      </w:r>
      <w:r w:rsidR="009A5B11">
        <w:t>Texas Estates Code Section 22.029</w:t>
      </w:r>
      <w:r w:rsidR="009A5B11">
        <w:t xml:space="preserve"> </w:t>
      </w:r>
      <w:r w:rsidR="00F32F39">
        <w:t>define</w:t>
      </w:r>
      <w:r w:rsidR="009A5B11">
        <w:t>s those terms.</w:t>
      </w:r>
    </w:p>
    <w:p w:rsidR="00496459" w:rsidRDefault="00496459" w:rsidP="00496459">
      <w:pPr>
        <w:pStyle w:val="Quote"/>
      </w:pPr>
      <w:r>
        <w:t>“Sec. 22.029. PROBATE MATTER; PROBATE PROCEEDINGS; PROCEEDING IN PROBATE; PROCEEDINGS FOR PROBATE. The terms "probate matter," "probate proceedings," "proceeding in probate," and "proceedings for probate" are synonymous and include a matter or proceeding relating to a decedent's estate.</w:t>
      </w:r>
      <w:r>
        <w:t xml:space="preserve"> </w:t>
      </w:r>
      <w:r>
        <w:t xml:space="preserve">Added by Acts 2009, 81st Leg., R.S., Ch. 680 (H.B. </w:t>
      </w:r>
      <w:r w:rsidRPr="00496459">
        <w:rPr>
          <w:color w:val="0000FF"/>
        </w:rPr>
        <w:t>2502</w:t>
      </w:r>
      <w:r>
        <w:t>), Sec. 1, eff. January 1, 2014.”</w:t>
      </w:r>
    </w:p>
    <w:p w:rsidR="00005EE5" w:rsidRDefault="00005EE5" w:rsidP="00005EE5">
      <w:pPr>
        <w:pStyle w:val="NumPara1"/>
      </w:pPr>
      <w:r>
        <w:t xml:space="preserve">Further, the action numbered 412249-401 is currently </w:t>
      </w:r>
      <w:r w:rsidR="00271F79">
        <w:t>in</w:t>
      </w:r>
      <w:r>
        <w:t xml:space="preserve"> Houston’s 1</w:t>
      </w:r>
      <w:r w:rsidRPr="00F976A1">
        <w:rPr>
          <w:vertAlign w:val="superscript"/>
        </w:rPr>
        <w:t>st</w:t>
      </w:r>
      <w:r>
        <w:t xml:space="preserve"> District Court of Appeal</w:t>
      </w:r>
      <w:r w:rsidR="00271F79">
        <w:t>s</w:t>
      </w:r>
      <w:r>
        <w:t xml:space="preserve"> on the question of this </w:t>
      </w:r>
      <w:r w:rsidR="00271F79">
        <w:t>C</w:t>
      </w:r>
      <w:r>
        <w:t>ourt</w:t>
      </w:r>
      <w:r w:rsidR="00271F79">
        <w:t>’</w:t>
      </w:r>
      <w:r>
        <w:t xml:space="preserve">s jurisdiction [No. </w:t>
      </w:r>
      <w:r w:rsidRPr="005A7232">
        <w:t>01-23-00362-CV</w:t>
      </w:r>
      <w:r>
        <w:t xml:space="preserve">] and not in this court at all. </w:t>
      </w:r>
    </w:p>
    <w:p w:rsidR="00F32F39" w:rsidRDefault="00F32F39" w:rsidP="00920355">
      <w:pPr>
        <w:pStyle w:val="NumPara1"/>
      </w:pPr>
      <w:r>
        <w:t xml:space="preserve">Despite the fact that the 412249-401 action is in the </w:t>
      </w:r>
      <w:r w:rsidR="005A7232">
        <w:t>C</w:t>
      </w:r>
      <w:r>
        <w:t xml:space="preserve">ourt of </w:t>
      </w:r>
      <w:r w:rsidR="005A7232">
        <w:t>A</w:t>
      </w:r>
      <w:r>
        <w:t>ppeals and not pending in the probate court and that trusts are not subject to continuing judicial supervision</w:t>
      </w:r>
      <w:r w:rsidR="00674B02">
        <w:t>,</w:t>
      </w:r>
      <w:r>
        <w:t xml:space="preserve"> (Tex. Prop. Code § 115001(c)(10)</w:t>
      </w:r>
      <w:r w:rsidR="00674B02">
        <w:t>),</w:t>
      </w:r>
      <w:r>
        <w:t xml:space="preserve"> A</w:t>
      </w:r>
      <w:r w:rsidRPr="00644C92">
        <w:t>ttorney Stephen Mendel</w:t>
      </w:r>
      <w:r>
        <w:t xml:space="preserve"> continues to file motions in this court theater seeking a plausible excuse for violating an injunction issued by a United States District Court Judge which this court has neither the authority to enforce nor </w:t>
      </w:r>
      <w:r w:rsidR="00271F79">
        <w:t xml:space="preserve">to </w:t>
      </w:r>
      <w:r>
        <w:t>ignore.</w:t>
      </w:r>
      <w:r w:rsidR="005A7232">
        <w:t xml:space="preserve"> </w:t>
      </w:r>
    </w:p>
    <w:p w:rsidR="00F32F39" w:rsidRDefault="00674B02" w:rsidP="00920355">
      <w:pPr>
        <w:pStyle w:val="NumPara1"/>
      </w:pPr>
      <w:r>
        <w:t xml:space="preserve">By way of example: </w:t>
      </w:r>
      <w:r w:rsidR="00F32F39" w:rsidRPr="00644C92">
        <w:t xml:space="preserve">On October 22, 2024 </w:t>
      </w:r>
      <w:r w:rsidR="00D37A08">
        <w:t>A</w:t>
      </w:r>
      <w:r w:rsidR="00F32F39" w:rsidRPr="00644C92">
        <w:t xml:space="preserve">ttorney Stephen Mendel filed a motion for an interim distribution to “the remaining beneficiaries” to pay </w:t>
      </w:r>
      <w:r w:rsidR="00D37A08">
        <w:t>A</w:t>
      </w:r>
      <w:r w:rsidR="005A7232">
        <w:t xml:space="preserve">ttorney </w:t>
      </w:r>
      <w:r w:rsidR="00F32F39" w:rsidRPr="00644C92">
        <w:t>fees</w:t>
      </w:r>
      <w:r w:rsidR="00F32F39">
        <w:t xml:space="preserve"> </w:t>
      </w:r>
      <w:r w:rsidR="00271F79" w:rsidRPr="00644C92">
        <w:t>alleged</w:t>
      </w:r>
      <w:r w:rsidR="00271F79">
        <w:t>ly</w:t>
      </w:r>
      <w:r w:rsidR="005A7232" w:rsidRPr="00644C92">
        <w:t xml:space="preserve"> </w:t>
      </w:r>
      <w:r w:rsidR="00F32F39">
        <w:t>incurred by “the trust”, which of course is not “the estate”</w:t>
      </w:r>
      <w:r w:rsidR="00D578C8">
        <w:t>. T</w:t>
      </w:r>
      <w:r w:rsidR="005A7232">
        <w:t xml:space="preserve">he </w:t>
      </w:r>
      <w:r w:rsidR="00D37A08">
        <w:t>A</w:t>
      </w:r>
      <w:r w:rsidR="005A7232">
        <w:t xml:space="preserve">ttorneys </w:t>
      </w:r>
      <w:r>
        <w:t>and their clients</w:t>
      </w:r>
      <w:r w:rsidR="00D578C8">
        <w:t xml:space="preserve"> are </w:t>
      </w:r>
      <w:r>
        <w:t xml:space="preserve">restrained by the </w:t>
      </w:r>
      <w:r w:rsidR="00CB6B47">
        <w:t xml:space="preserve">federal </w:t>
      </w:r>
      <w:r>
        <w:t>injunction</w:t>
      </w:r>
      <w:r w:rsidR="00D841A3">
        <w:t xml:space="preserve"> </w:t>
      </w:r>
      <w:r w:rsidR="00D841A3">
        <w:t>[</w:t>
      </w:r>
      <w:r w:rsidR="00D841A3" w:rsidRPr="00674B02">
        <w:rPr>
          <w:highlight w:val="yellow"/>
        </w:rPr>
        <w:t>Exhibit x</w:t>
      </w:r>
      <w:r w:rsidR="00D841A3">
        <w:t>]</w:t>
      </w:r>
      <w:r w:rsidR="00D578C8">
        <w:t xml:space="preserve"> from conducting new business without prior court approval and</w:t>
      </w:r>
      <w:r>
        <w:t xml:space="preserve"> </w:t>
      </w:r>
      <w:r w:rsidR="005A7232">
        <w:t xml:space="preserve">had no judicial permission to incur </w:t>
      </w:r>
      <w:r w:rsidR="00CB6B47">
        <w:t xml:space="preserve">debts </w:t>
      </w:r>
      <w:r w:rsidR="005A7232">
        <w:t>against the trust corpus</w:t>
      </w:r>
      <w:r w:rsidR="00D578C8">
        <w:t xml:space="preserve">. Property code statutes render the attorney’s fee claims </w:t>
      </w:r>
      <w:r w:rsidR="009A5B11">
        <w:t>invalid as a matter of law</w:t>
      </w:r>
      <w:r w:rsidR="00F32F39" w:rsidRPr="00644C92">
        <w:t>.</w:t>
      </w:r>
    </w:p>
    <w:p w:rsidR="00F32F39" w:rsidRDefault="00F32F39" w:rsidP="00F32F39">
      <w:pPr>
        <w:pStyle w:val="Quote"/>
      </w:pPr>
      <w:proofErr w:type="gramStart"/>
      <w:r>
        <w:lastRenderedPageBreak/>
        <w:t>Sec.</w:t>
      </w:r>
      <w:r>
        <w:rPr>
          <w:color w:val="FFFFFF"/>
        </w:rPr>
        <w:t>A</w:t>
      </w:r>
      <w:r>
        <w:t>101.002.</w:t>
      </w:r>
      <w:r>
        <w:rPr>
          <w:color w:val="FFFFFF"/>
        </w:rPr>
        <w:t>AA</w:t>
      </w:r>
      <w:r>
        <w:t>LIABILITY OF TRUST PROPERTY.</w:t>
      </w:r>
      <w:proofErr w:type="gramEnd"/>
      <w:r>
        <w:t xml:space="preserve"> Although trust property is held by the trustee without identifying the trust or its beneficiaries, the trust property is not liable to satisfy the personal obligations of the trustee.</w:t>
      </w:r>
    </w:p>
    <w:p w:rsidR="009A5B11" w:rsidRDefault="00F32F39" w:rsidP="00D841A3">
      <w:pPr>
        <w:pStyle w:val="Quote"/>
      </w:pPr>
      <w:r>
        <w:t xml:space="preserve">Acts 1983, 68th Leg., p. 3654, </w:t>
      </w:r>
      <w:proofErr w:type="spellStart"/>
      <w:r>
        <w:t>ch.</w:t>
      </w:r>
      <w:proofErr w:type="spellEnd"/>
      <w:r>
        <w:t xml:space="preserve"> 576, Sec. 1, eff. Jan. 1, 1984.</w:t>
      </w:r>
      <w:r w:rsidR="009A5B11">
        <w:t xml:space="preserve"> </w:t>
      </w:r>
      <w:r>
        <w:t xml:space="preserve">Renumbered from Sec. 101.001(b) by Acts 1987, 70th Leg., </w:t>
      </w:r>
      <w:proofErr w:type="spellStart"/>
      <w:r>
        <w:t>ch.</w:t>
      </w:r>
      <w:proofErr w:type="spellEnd"/>
      <w:r>
        <w:t xml:space="preserve"> 683</w:t>
      </w:r>
      <w:proofErr w:type="gramStart"/>
      <w:r>
        <w:t>,Sec</w:t>
      </w:r>
      <w:proofErr w:type="gramEnd"/>
      <w:r>
        <w:t>. 3, eff. Aug. 31, 1987.</w:t>
      </w:r>
    </w:p>
    <w:p w:rsidR="009A5B11" w:rsidRPr="009A5B11" w:rsidRDefault="009A5B11" w:rsidP="00CB6B47">
      <w:pPr>
        <w:ind w:firstLine="0"/>
      </w:pPr>
    </w:p>
    <w:p w:rsidR="00674B02" w:rsidRDefault="005177AD" w:rsidP="00271F79">
      <w:pPr>
        <w:pStyle w:val="Heading1"/>
      </w:pPr>
      <w:r>
        <w:t>JURISDICTION</w:t>
      </w:r>
      <w:r>
        <w:tab/>
        <w:t>RELATING TO INTER VIVOS TRUSTS</w:t>
      </w:r>
    </w:p>
    <w:p w:rsidR="00674B02" w:rsidRDefault="00674B02" w:rsidP="00920355">
      <w:pPr>
        <w:pStyle w:val="NumPara1"/>
      </w:pPr>
      <w:r>
        <w:t xml:space="preserve">Jurisdiction over trusts is governed under Property Code Title 9, Subtitle B Chapter 115 subchapter A. </w:t>
      </w:r>
    </w:p>
    <w:p w:rsidR="00674B02" w:rsidRDefault="00674B02" w:rsidP="00674B02">
      <w:pPr>
        <w:pStyle w:val="Quote"/>
      </w:pPr>
      <w:proofErr w:type="gramStart"/>
      <w:r>
        <w:t>Sec.</w:t>
      </w:r>
      <w:r>
        <w:t xml:space="preserve"> </w:t>
      </w:r>
      <w:r>
        <w:t>115.001.</w:t>
      </w:r>
      <w:proofErr w:type="gramEnd"/>
      <w:r w:rsidR="00920355">
        <w:t xml:space="preserve"> </w:t>
      </w:r>
      <w:proofErr w:type="gramStart"/>
      <w:r>
        <w:t>JURISDICTION.</w:t>
      </w:r>
      <w:proofErr w:type="gramEnd"/>
      <w:r>
        <w:t xml:space="preserve"> (a) Except as provided by</w:t>
      </w:r>
      <w:r w:rsidR="00920355">
        <w:t xml:space="preserve"> </w:t>
      </w:r>
      <w:r>
        <w:t>Subsection (d) of this section, a district court has original and</w:t>
      </w:r>
      <w:r w:rsidR="00920355">
        <w:t xml:space="preserve"> </w:t>
      </w:r>
      <w:r>
        <w:t>exclusive jurisdiction over all proceedings by or against a trustee</w:t>
      </w:r>
      <w:r w:rsidR="00920355">
        <w:t xml:space="preserve"> </w:t>
      </w:r>
      <w:r>
        <w:t>and all proceedings concerning trust</w:t>
      </w:r>
      <w:r w:rsidR="00920355">
        <w:t>…</w:t>
      </w:r>
    </w:p>
    <w:p w:rsidR="00920355" w:rsidRPr="00920355" w:rsidRDefault="00920355" w:rsidP="00920355">
      <w:pPr>
        <w:pStyle w:val="Quote"/>
      </w:pPr>
      <w:r>
        <w:t>Subsection (d)</w:t>
      </w:r>
      <w:r w:rsidR="00C33F28">
        <w:t>:</w:t>
      </w:r>
      <w:r w:rsidRPr="00920355">
        <w:t xml:space="preserve"> </w:t>
      </w:r>
      <w:r>
        <w:t>The jurisdiction of the district court is exclusive</w:t>
      </w:r>
      <w:r>
        <w:t xml:space="preserve"> </w:t>
      </w:r>
      <w:r>
        <w:t>except for jurisdiction conferred by law on:</w:t>
      </w:r>
      <w:r>
        <w:t xml:space="preserve"> </w:t>
      </w:r>
      <w:r>
        <w:t>(1)</w:t>
      </w:r>
      <w:r>
        <w:t xml:space="preserve"> </w:t>
      </w:r>
      <w:r>
        <w:t>a statutory probate court</w:t>
      </w:r>
    </w:p>
    <w:p w:rsidR="00920355" w:rsidRDefault="00920355" w:rsidP="009F7859">
      <w:pPr>
        <w:pStyle w:val="NumPara1"/>
      </w:pPr>
      <w:r>
        <w:t xml:space="preserve">As to any notion that the statutory probate court has subject matter jurisdiction over living trusts whether or not there is a pending probate, the legislature made it clear that was not the case in 2017 when they repealed Texas Government Code §1034(a) and amended Government Code Section 25.0021 confining statutory probate court subject matter jurisdiction to probate, guardianship, eminent domain </w:t>
      </w:r>
      <w:r w:rsidR="00D578C8">
        <w:t xml:space="preserve">proceedings </w:t>
      </w:r>
      <w:r w:rsidR="00CB6B47">
        <w:t xml:space="preserve">and certain specific </w:t>
      </w:r>
      <w:r w:rsidR="00CB6B47">
        <w:t xml:space="preserve">mental health </w:t>
      </w:r>
      <w:r w:rsidR="00D578C8">
        <w:t>issues</w:t>
      </w:r>
      <w:r>
        <w:t xml:space="preserve">. </w:t>
      </w:r>
      <w:r w:rsidR="009F7859">
        <w:t>[</w:t>
      </w:r>
      <w:r w:rsidR="009F7859" w:rsidRPr="009F7859">
        <w:rPr>
          <w:highlight w:val="yellow"/>
        </w:rPr>
        <w:t>exhibit x</w:t>
      </w:r>
      <w:r w:rsidR="009F7859">
        <w:t>]</w:t>
      </w:r>
      <w:r w:rsidR="009F7859" w:rsidRPr="009F7859">
        <w:t xml:space="preserve"> [see Local Rules of the Probate Courts of Harris County, Texa</w:t>
      </w:r>
      <w:r w:rsidR="009F7859">
        <w:t>s, Rule 2.2</w:t>
      </w:r>
      <w:r w:rsidR="009F7859" w:rsidRPr="009F7859">
        <w:t>]</w:t>
      </w:r>
    </w:p>
    <w:p w:rsidR="00920355" w:rsidRDefault="00920355" w:rsidP="00D578C8">
      <w:pPr>
        <w:pStyle w:val="NumPara1"/>
      </w:pPr>
      <w:r>
        <w:t>Desp</w:t>
      </w:r>
      <w:r w:rsidR="00D578C8">
        <w:t xml:space="preserve">ite </w:t>
      </w:r>
      <w:r>
        <w:t>Government Code §1034(a)</w:t>
      </w:r>
      <w:r>
        <w:t xml:space="preserve">’s </w:t>
      </w:r>
      <w:r>
        <w:t xml:space="preserve">grant of authority </w:t>
      </w:r>
      <w:r>
        <w:t xml:space="preserve">at the time the 412249-401 action was filed, Estates Code </w:t>
      </w:r>
      <w:r w:rsidR="00D578C8">
        <w:t xml:space="preserve">§402.001’s </w:t>
      </w:r>
      <w:r>
        <w:t>limitation governing “independent administration”</w:t>
      </w:r>
      <w:r w:rsidR="00D578C8">
        <w:t xml:space="preserve"> </w:t>
      </w:r>
      <w:r>
        <w:t>is controlling</w:t>
      </w:r>
      <w:r w:rsidR="00C33F28">
        <w:t xml:space="preserve">. This issue is currently pending before </w:t>
      </w:r>
      <w:r w:rsidR="00C33F28">
        <w:t>Houston’s 1</w:t>
      </w:r>
      <w:r w:rsidR="00C33F28" w:rsidRPr="00D578C8">
        <w:rPr>
          <w:vertAlign w:val="superscript"/>
        </w:rPr>
        <w:t>st</w:t>
      </w:r>
      <w:r w:rsidR="00C33F28">
        <w:t xml:space="preserve"> District Court of Appeal</w:t>
      </w:r>
      <w:r w:rsidR="00D578C8">
        <w:t xml:space="preserve"> in cause No </w:t>
      </w:r>
      <w:r w:rsidR="00D578C8" w:rsidRPr="00D578C8">
        <w:t>01-23-00362-CV</w:t>
      </w:r>
      <w:r w:rsidR="00D578C8">
        <w:t>.</w:t>
      </w:r>
    </w:p>
    <w:p w:rsidR="00003669" w:rsidRDefault="00003669" w:rsidP="00003669">
      <w:pPr>
        <w:pStyle w:val="NumPara1"/>
      </w:pPr>
      <w:r>
        <w:lastRenderedPageBreak/>
        <w:t xml:space="preserve">Please take judicial notice that Andrew Curtis is not now and has never been party to any proceeding or claim filed in this court and that no judgment entered in this court can prejudice his rights as a successor beneficiary to his mother’s trust interests. </w:t>
      </w:r>
    </w:p>
    <w:p w:rsidR="00C33F28" w:rsidRDefault="00C33F28" w:rsidP="00C33F28">
      <w:pPr>
        <w:pStyle w:val="NumPara1"/>
      </w:pPr>
      <w:r>
        <w:t>I</w:t>
      </w:r>
      <w:r w:rsidRPr="00C33F28">
        <w:t xml:space="preserve">f Candace Curtis has in any way violated an interrorem clause and whether or not Defendants can produce their heinous Qualified Beneficiary Designation and Testamentary Power of Appointment under Living </w:t>
      </w:r>
      <w:r w:rsidR="00003669" w:rsidRPr="00C33F28">
        <w:t>Trust Agreement</w:t>
      </w:r>
      <w:r w:rsidRPr="00C33F28">
        <w:t>, allegedly signed by Nelva Brunsting on August 25, 2010, that portends to have amended a trust that became irrevocable more than two years earlier</w:t>
      </w:r>
      <w:r>
        <w:t xml:space="preserve">, Movant would be the lawful successor </w:t>
      </w:r>
      <w:r w:rsidR="00496459">
        <w:t xml:space="preserve">in interest </w:t>
      </w:r>
      <w:r w:rsidR="00003669">
        <w:t xml:space="preserve">and an interested person </w:t>
      </w:r>
      <w:r w:rsidR="00003669">
        <w:t>within the meaning of Texas Property Code Section 111.004(7)</w:t>
      </w:r>
      <w:r>
        <w:t>.</w:t>
      </w:r>
    </w:p>
    <w:p w:rsidR="00496459" w:rsidRDefault="00496459" w:rsidP="00496459">
      <w:pPr>
        <w:pStyle w:val="Heading1"/>
      </w:pPr>
      <w:r>
        <w:t>NOTICE</w:t>
      </w:r>
    </w:p>
    <w:p w:rsidR="00496459" w:rsidRDefault="00496459" w:rsidP="00496459">
      <w:pPr>
        <w:pStyle w:val="NumPara1"/>
      </w:pPr>
      <w:r>
        <w:t>T</w:t>
      </w:r>
      <w:r w:rsidR="00C33F28" w:rsidRPr="00C33F28">
        <w:t xml:space="preserve">rust issues mentioned </w:t>
      </w:r>
      <w:r>
        <w:t xml:space="preserve">herein </w:t>
      </w:r>
      <w:r w:rsidR="00C33F28" w:rsidRPr="00C33F28">
        <w:t xml:space="preserve">are not being raised by this motion </w:t>
      </w:r>
      <w:r w:rsidR="00003669">
        <w:t xml:space="preserve">in this court </w:t>
      </w:r>
      <w:r w:rsidR="00C33F28" w:rsidRPr="00C33F28">
        <w:t>but are mentioned merely for the pu</w:t>
      </w:r>
      <w:r w:rsidR="00D37A08">
        <w:t>rpose of putting the colluding A</w:t>
      </w:r>
      <w:r w:rsidR="00C33F28" w:rsidRPr="00C33F28">
        <w:t>ttorneys on notice</w:t>
      </w:r>
      <w:r w:rsidR="00D578C8">
        <w:t xml:space="preserve"> that their conduct and their actions are unconscionable</w:t>
      </w:r>
      <w:r>
        <w:t xml:space="preserve"> and that this court is in want of any authority over this trust controversy</w:t>
      </w:r>
      <w:r w:rsidR="00C33F28" w:rsidRPr="00C33F28">
        <w:t>.</w:t>
      </w:r>
      <w:r w:rsidR="00003669">
        <w:t xml:space="preserve"> </w:t>
      </w:r>
    </w:p>
    <w:p w:rsidR="00C33F28" w:rsidRDefault="00496459" w:rsidP="00496459">
      <w:pPr>
        <w:pStyle w:val="NumPara1"/>
      </w:pPr>
      <w:r w:rsidRPr="00496459">
        <w:t xml:space="preserve">The only jurisdiction this court has ever had over the Brunsting Family Living Trust is the administrative jurisdiction to dismiss Carl Brunsting’s declaratory judgment action for want of subject matter jurisdiction. All third parties receiving trust distributions authorized by this court are void ab initio, invalid, in violation of a federal injunction and are to be disgorged and returned to the trust. </w:t>
      </w:r>
    </w:p>
    <w:p w:rsidR="00496459" w:rsidRDefault="00496459" w:rsidP="00496459">
      <w:pPr>
        <w:pStyle w:val="NumPara1"/>
      </w:pPr>
      <w:r>
        <w:lastRenderedPageBreak/>
        <w:t xml:space="preserve">This court does have the inherent authority to sanction the participating attorneys for their fraudulent actions before this court.  </w:t>
      </w:r>
    </w:p>
    <w:p w:rsidR="0049381C" w:rsidRDefault="00F32F39" w:rsidP="00496459">
      <w:pPr>
        <w:pStyle w:val="Heading1"/>
      </w:pPr>
      <w:r>
        <w:t>RELIEF REQUESTED</w:t>
      </w:r>
    </w:p>
    <w:p w:rsidR="00644C92" w:rsidRDefault="00C55127" w:rsidP="00496459">
      <w:pPr>
        <w:pStyle w:val="NumPara1"/>
      </w:pPr>
      <w:r>
        <w:t>Living trust successor beneficiary Andrew Curtis</w:t>
      </w:r>
      <w:r w:rsidR="00D37A08">
        <w:t>,</w:t>
      </w:r>
      <w:r>
        <w:t xml:space="preserve"> </w:t>
      </w:r>
      <w:r w:rsidR="00375F83" w:rsidRPr="00375F83">
        <w:t>appearing specially and not generally</w:t>
      </w:r>
      <w:r w:rsidR="00D37A08">
        <w:t>,</w:t>
      </w:r>
      <w:r w:rsidR="00375F83">
        <w:t xml:space="preserve"> herein moves this court to dismiss all matters filed as ancillary to the Estate of Nelva Brunsting No 412249 </w:t>
      </w:r>
      <w:r w:rsidR="0049381C">
        <w:t>and to vacate and set aside all orders entered after April 5, 2013</w:t>
      </w:r>
      <w:r w:rsidR="00EC7C1C">
        <w:t>,</w:t>
      </w:r>
      <w:r w:rsidR="0049381C">
        <w:t xml:space="preserve"> in all matters</w:t>
      </w:r>
      <w:r w:rsidR="00EC7C1C">
        <w:t>,</w:t>
      </w:r>
      <w:r w:rsidR="0049381C">
        <w:t xml:space="preserve"> for want of </w:t>
      </w:r>
      <w:r w:rsidR="00C277E5">
        <w:t xml:space="preserve">any </w:t>
      </w:r>
      <w:r w:rsidR="0049381C">
        <w:t>jurisdiction</w:t>
      </w:r>
      <w:r w:rsidR="00C277E5">
        <w:t xml:space="preserve"> to act as a court</w:t>
      </w:r>
      <w:r w:rsidR="00375F83">
        <w:t>.</w:t>
      </w:r>
    </w:p>
    <w:p w:rsidR="00375F83" w:rsidRDefault="00375F83" w:rsidP="00920355">
      <w:pPr>
        <w:pStyle w:val="NumPara1"/>
      </w:pPr>
      <w:r>
        <w:t xml:space="preserve">Further, Movant, appearing specially and not generally </w:t>
      </w:r>
      <w:r w:rsidR="0049381C">
        <w:t>sayeth</w:t>
      </w:r>
      <w:r>
        <w:t xml:space="preserve"> naught.</w:t>
      </w:r>
    </w:p>
    <w:p w:rsidR="002A4A15" w:rsidRPr="00753601" w:rsidRDefault="002A4A15" w:rsidP="002A4A15">
      <w:pPr>
        <w:tabs>
          <w:tab w:val="left" w:pos="1551"/>
          <w:tab w:val="left" w:pos="1553"/>
        </w:tabs>
        <w:autoSpaceDE w:val="0"/>
        <w:autoSpaceDN w:val="0"/>
        <w:spacing w:before="0" w:after="0"/>
        <w:ind w:left="4320" w:firstLine="0"/>
      </w:pPr>
      <w:r w:rsidRPr="00753601">
        <w:t>Respectfully submitted,</w:t>
      </w:r>
    </w:p>
    <w:p w:rsidR="002A4A15" w:rsidRPr="00753601" w:rsidRDefault="00485CA8" w:rsidP="002A4A15">
      <w:pPr>
        <w:tabs>
          <w:tab w:val="left" w:pos="1551"/>
          <w:tab w:val="left" w:pos="1553"/>
        </w:tabs>
        <w:autoSpaceDE w:val="0"/>
        <w:autoSpaceDN w:val="0"/>
        <w:spacing w:before="0" w:after="0"/>
        <w:ind w:left="4320" w:firstLine="0"/>
      </w:pPr>
      <w:r>
        <w:t>Andrew Curtis</w:t>
      </w:r>
    </w:p>
    <w:p w:rsidR="002A4A15" w:rsidRPr="00753601" w:rsidRDefault="002A4A15" w:rsidP="002A4A15">
      <w:pPr>
        <w:tabs>
          <w:tab w:val="left" w:pos="1551"/>
          <w:tab w:val="left" w:pos="1553"/>
        </w:tabs>
        <w:autoSpaceDE w:val="0"/>
        <w:autoSpaceDN w:val="0"/>
        <w:spacing w:before="0" w:after="0" w:line="276" w:lineRule="auto"/>
        <w:ind w:left="4320" w:firstLine="0"/>
      </w:pPr>
      <w:r w:rsidRPr="00753601">
        <w:t>_______________________</w:t>
      </w:r>
    </w:p>
    <w:p w:rsidR="002A4A15" w:rsidRPr="00753601" w:rsidRDefault="002A4A15" w:rsidP="002A4A15">
      <w:pPr>
        <w:spacing w:after="0" w:line="276" w:lineRule="auto"/>
        <w:ind w:firstLine="0"/>
        <w:jc w:val="center"/>
        <w:rPr>
          <w:b/>
          <w:bCs/>
        </w:rPr>
      </w:pPr>
      <w:r w:rsidRPr="00753601">
        <w:rPr>
          <w:b/>
          <w:bCs/>
        </w:rPr>
        <w:t>CERTIFICATE OF SERVICE</w:t>
      </w:r>
    </w:p>
    <w:p w:rsidR="00DD1BBE" w:rsidRDefault="002A4A15" w:rsidP="002A4A15">
      <w:pPr>
        <w:pStyle w:val="NoSpacing"/>
        <w:rPr>
          <w:sz w:val="24"/>
          <w:szCs w:val="24"/>
        </w:rPr>
      </w:pPr>
      <w:r w:rsidRPr="00753601">
        <w:rPr>
          <w:sz w:val="24"/>
          <w:szCs w:val="24"/>
        </w:rPr>
        <w:t xml:space="preserve">I </w:t>
      </w:r>
      <w:r w:rsidR="00485CA8" w:rsidRPr="00485CA8">
        <w:rPr>
          <w:sz w:val="24"/>
          <w:szCs w:val="24"/>
        </w:rPr>
        <w:t>Andrew Curtis</w:t>
      </w:r>
      <w:r w:rsidRPr="00753601">
        <w:rPr>
          <w:sz w:val="24"/>
          <w:szCs w:val="24"/>
        </w:rPr>
        <w:t xml:space="preserve"> hereby certify that the foregoing document was served on all counsel of record on </w:t>
      </w:r>
      <w:r w:rsidRPr="002B41ED">
        <w:rPr>
          <w:sz w:val="24"/>
          <w:szCs w:val="24"/>
          <w:highlight w:val="yellow"/>
        </w:rPr>
        <w:fldChar w:fldCharType="begin"/>
      </w:r>
      <w:r w:rsidRPr="002B41ED">
        <w:rPr>
          <w:sz w:val="24"/>
          <w:szCs w:val="24"/>
          <w:highlight w:val="yellow"/>
        </w:rPr>
        <w:instrText xml:space="preserve"> DATE \@ "dddd, MMMM dd, yyyy" </w:instrText>
      </w:r>
      <w:r w:rsidRPr="002B41ED">
        <w:rPr>
          <w:sz w:val="24"/>
          <w:szCs w:val="24"/>
          <w:highlight w:val="yellow"/>
        </w:rPr>
        <w:fldChar w:fldCharType="separate"/>
      </w:r>
      <w:r w:rsidR="00693C71">
        <w:rPr>
          <w:noProof/>
          <w:sz w:val="24"/>
          <w:szCs w:val="24"/>
          <w:highlight w:val="yellow"/>
        </w:rPr>
        <w:t>Saturday, January 04, 2025</w:t>
      </w:r>
      <w:r w:rsidRPr="002B41ED">
        <w:rPr>
          <w:sz w:val="24"/>
          <w:szCs w:val="24"/>
          <w:highlight w:val="yellow"/>
        </w:rPr>
        <w:fldChar w:fldCharType="end"/>
      </w:r>
      <w:r w:rsidRPr="00753601">
        <w:rPr>
          <w:sz w:val="24"/>
          <w:szCs w:val="24"/>
        </w:rPr>
        <w:t xml:space="preserve"> through the state electronic filing syst</w:t>
      </w:r>
      <w:r w:rsidR="0049381C">
        <w:rPr>
          <w:sz w:val="24"/>
          <w:szCs w:val="24"/>
        </w:rPr>
        <w:t>em</w:t>
      </w:r>
      <w:r w:rsidR="003904A9">
        <w:rPr>
          <w:sz w:val="24"/>
          <w:szCs w:val="24"/>
        </w:rPr>
        <w:t xml:space="preserve"> with the exception of the estates independent executor as there is no administrator for </w:t>
      </w:r>
      <w:r w:rsidR="00644C92">
        <w:rPr>
          <w:sz w:val="24"/>
          <w:szCs w:val="24"/>
        </w:rPr>
        <w:t xml:space="preserve">the Estate of </w:t>
      </w:r>
      <w:r w:rsidR="00644C92" w:rsidRPr="00644C92">
        <w:rPr>
          <w:sz w:val="24"/>
          <w:szCs w:val="24"/>
        </w:rPr>
        <w:t xml:space="preserve">Elmer H. Brunsting [No. 412248] </w:t>
      </w:r>
      <w:r w:rsidR="00644C92">
        <w:rPr>
          <w:sz w:val="24"/>
          <w:szCs w:val="24"/>
        </w:rPr>
        <w:t>or the Estate of</w:t>
      </w:r>
      <w:r w:rsidR="00644C92" w:rsidRPr="00644C92">
        <w:rPr>
          <w:sz w:val="24"/>
          <w:szCs w:val="24"/>
        </w:rPr>
        <w:t xml:space="preserve"> Nelva E. Brunsting [No. 412249]</w:t>
      </w:r>
      <w:r w:rsidR="003904A9">
        <w:rPr>
          <w:sz w:val="24"/>
          <w:szCs w:val="24"/>
        </w:rPr>
        <w:t>.</w:t>
      </w:r>
    </w:p>
    <w:p w:rsidR="00496459" w:rsidRDefault="00496459" w:rsidP="002A4A15">
      <w:pPr>
        <w:pStyle w:val="NoSpacing"/>
        <w:rPr>
          <w:sz w:val="24"/>
          <w:szCs w:val="24"/>
        </w:rPr>
      </w:pPr>
    </w:p>
    <w:p w:rsidR="00496459" w:rsidRPr="00753601" w:rsidRDefault="00496459" w:rsidP="002A4A15">
      <w:pPr>
        <w:pStyle w:val="NoSpacing"/>
        <w:rPr>
          <w:sz w:val="24"/>
          <w:szCs w:val="24"/>
        </w:rPr>
      </w:pPr>
      <w:bookmarkStart w:id="0" w:name="_GoBack"/>
      <w:bookmarkEnd w:id="0"/>
    </w:p>
    <w:sectPr w:rsidR="00496459" w:rsidRPr="00753601" w:rsidSect="005C53EF">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15" w:rsidRDefault="002A4A15" w:rsidP="002A4A15">
      <w:pPr>
        <w:spacing w:before="0" w:after="0" w:line="240" w:lineRule="auto"/>
      </w:pPr>
      <w:r>
        <w:separator/>
      </w:r>
    </w:p>
  </w:endnote>
  <w:endnote w:type="continuationSeparator" w:id="0">
    <w:p w:rsidR="002A4A15" w:rsidRDefault="002A4A15" w:rsidP="002A4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69236"/>
      <w:docPartObj>
        <w:docPartGallery w:val="Page Numbers (Bottom of Page)"/>
        <w:docPartUnique/>
      </w:docPartObj>
    </w:sdtPr>
    <w:sdtEndPr>
      <w:rPr>
        <w:noProof/>
      </w:rPr>
    </w:sdtEndPr>
    <w:sdtContent>
      <w:p w:rsidR="00C55127" w:rsidRDefault="00C55127">
        <w:pPr>
          <w:pStyle w:val="Footer"/>
          <w:jc w:val="right"/>
        </w:pPr>
        <w:r>
          <w:fldChar w:fldCharType="begin"/>
        </w:r>
        <w:r>
          <w:instrText xml:space="preserve"> PAGE   \* MERGEFORMAT </w:instrText>
        </w:r>
        <w:r>
          <w:fldChar w:fldCharType="separate"/>
        </w:r>
        <w:r w:rsidR="00496459">
          <w:rPr>
            <w:noProof/>
          </w:rPr>
          <w:t>7</w:t>
        </w:r>
        <w:r>
          <w:rPr>
            <w:noProof/>
          </w:rPr>
          <w:fldChar w:fldCharType="end"/>
        </w:r>
      </w:p>
    </w:sdtContent>
  </w:sdt>
  <w:p w:rsidR="00C55127" w:rsidRDefault="00C5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15" w:rsidRDefault="002A4A15" w:rsidP="002A4A15">
      <w:pPr>
        <w:spacing w:before="0" w:after="0" w:line="240" w:lineRule="auto"/>
      </w:pPr>
      <w:r>
        <w:separator/>
      </w:r>
    </w:p>
  </w:footnote>
  <w:footnote w:type="continuationSeparator" w:id="0">
    <w:p w:rsidR="002A4A15" w:rsidRDefault="002A4A15" w:rsidP="002A4A1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252671E2"/>
    <w:lvl w:ilvl="0" w:tplc="6FEAED5A">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45262EF0"/>
    <w:lvl w:ilvl="0" w:tplc="284AEE12">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45"/>
    <w:rsid w:val="00003545"/>
    <w:rsid w:val="00003669"/>
    <w:rsid w:val="00005EE5"/>
    <w:rsid w:val="000173E4"/>
    <w:rsid w:val="0002109F"/>
    <w:rsid w:val="00041E29"/>
    <w:rsid w:val="00091071"/>
    <w:rsid w:val="000D0E94"/>
    <w:rsid w:val="000F465F"/>
    <w:rsid w:val="000F738F"/>
    <w:rsid w:val="00124D37"/>
    <w:rsid w:val="00156555"/>
    <w:rsid w:val="001610B2"/>
    <w:rsid w:val="00171C43"/>
    <w:rsid w:val="001A3F32"/>
    <w:rsid w:val="001D0B0A"/>
    <w:rsid w:val="001D6254"/>
    <w:rsid w:val="00222515"/>
    <w:rsid w:val="00234916"/>
    <w:rsid w:val="00237452"/>
    <w:rsid w:val="0024453E"/>
    <w:rsid w:val="00271F79"/>
    <w:rsid w:val="002A4A15"/>
    <w:rsid w:val="002B0C9B"/>
    <w:rsid w:val="002B41ED"/>
    <w:rsid w:val="002F6C12"/>
    <w:rsid w:val="003029E6"/>
    <w:rsid w:val="00375F83"/>
    <w:rsid w:val="003904A9"/>
    <w:rsid w:val="003A6462"/>
    <w:rsid w:val="003E017D"/>
    <w:rsid w:val="003F4799"/>
    <w:rsid w:val="003F4B40"/>
    <w:rsid w:val="0042112E"/>
    <w:rsid w:val="00424FE8"/>
    <w:rsid w:val="004855D2"/>
    <w:rsid w:val="00485CA8"/>
    <w:rsid w:val="0049381C"/>
    <w:rsid w:val="00496459"/>
    <w:rsid w:val="005157AC"/>
    <w:rsid w:val="005177AD"/>
    <w:rsid w:val="00537D5C"/>
    <w:rsid w:val="0055091F"/>
    <w:rsid w:val="0055364E"/>
    <w:rsid w:val="005A171C"/>
    <w:rsid w:val="005A7232"/>
    <w:rsid w:val="005B4D26"/>
    <w:rsid w:val="005C53EF"/>
    <w:rsid w:val="005E0485"/>
    <w:rsid w:val="00632E36"/>
    <w:rsid w:val="00642CC9"/>
    <w:rsid w:val="00644C92"/>
    <w:rsid w:val="00644CA5"/>
    <w:rsid w:val="00653D93"/>
    <w:rsid w:val="00674B02"/>
    <w:rsid w:val="00693C71"/>
    <w:rsid w:val="006A479E"/>
    <w:rsid w:val="006B3E57"/>
    <w:rsid w:val="006D38A3"/>
    <w:rsid w:val="007158F1"/>
    <w:rsid w:val="00721920"/>
    <w:rsid w:val="00727055"/>
    <w:rsid w:val="007322BB"/>
    <w:rsid w:val="0074049B"/>
    <w:rsid w:val="007515B7"/>
    <w:rsid w:val="00753601"/>
    <w:rsid w:val="00754E09"/>
    <w:rsid w:val="00756AA9"/>
    <w:rsid w:val="00796E56"/>
    <w:rsid w:val="0079737C"/>
    <w:rsid w:val="007A00E3"/>
    <w:rsid w:val="007B2354"/>
    <w:rsid w:val="007C1128"/>
    <w:rsid w:val="007F2B48"/>
    <w:rsid w:val="00827BE0"/>
    <w:rsid w:val="008303EB"/>
    <w:rsid w:val="008540B9"/>
    <w:rsid w:val="00855E0E"/>
    <w:rsid w:val="008B060C"/>
    <w:rsid w:val="008B0BF5"/>
    <w:rsid w:val="008F799B"/>
    <w:rsid w:val="00920355"/>
    <w:rsid w:val="00932191"/>
    <w:rsid w:val="00941381"/>
    <w:rsid w:val="00950776"/>
    <w:rsid w:val="00974001"/>
    <w:rsid w:val="00975538"/>
    <w:rsid w:val="00977F59"/>
    <w:rsid w:val="009A3184"/>
    <w:rsid w:val="009A5B11"/>
    <w:rsid w:val="009A77A7"/>
    <w:rsid w:val="009B506A"/>
    <w:rsid w:val="009D75C0"/>
    <w:rsid w:val="009F5C6F"/>
    <w:rsid w:val="009F7859"/>
    <w:rsid w:val="00A15962"/>
    <w:rsid w:val="00A17B47"/>
    <w:rsid w:val="00A237F9"/>
    <w:rsid w:val="00A82FAD"/>
    <w:rsid w:val="00AA17D1"/>
    <w:rsid w:val="00AB0B1E"/>
    <w:rsid w:val="00AB3F1F"/>
    <w:rsid w:val="00AC0531"/>
    <w:rsid w:val="00AF46D4"/>
    <w:rsid w:val="00B02C6D"/>
    <w:rsid w:val="00B32522"/>
    <w:rsid w:val="00B64FE7"/>
    <w:rsid w:val="00B67DE7"/>
    <w:rsid w:val="00B7312A"/>
    <w:rsid w:val="00B73B02"/>
    <w:rsid w:val="00B87F04"/>
    <w:rsid w:val="00BB7B4A"/>
    <w:rsid w:val="00BF7B57"/>
    <w:rsid w:val="00C10E52"/>
    <w:rsid w:val="00C12254"/>
    <w:rsid w:val="00C277E5"/>
    <w:rsid w:val="00C33529"/>
    <w:rsid w:val="00C33F28"/>
    <w:rsid w:val="00C42C11"/>
    <w:rsid w:val="00C55127"/>
    <w:rsid w:val="00C67045"/>
    <w:rsid w:val="00C95618"/>
    <w:rsid w:val="00C966F0"/>
    <w:rsid w:val="00CB15BE"/>
    <w:rsid w:val="00CB2AE0"/>
    <w:rsid w:val="00CB6B47"/>
    <w:rsid w:val="00D37A08"/>
    <w:rsid w:val="00D46133"/>
    <w:rsid w:val="00D578C8"/>
    <w:rsid w:val="00D653E0"/>
    <w:rsid w:val="00D71F75"/>
    <w:rsid w:val="00D841A3"/>
    <w:rsid w:val="00DD1BBE"/>
    <w:rsid w:val="00DD4E3F"/>
    <w:rsid w:val="00DE5A41"/>
    <w:rsid w:val="00E30835"/>
    <w:rsid w:val="00E37D32"/>
    <w:rsid w:val="00E65E37"/>
    <w:rsid w:val="00EC7387"/>
    <w:rsid w:val="00EC7C1C"/>
    <w:rsid w:val="00EE557C"/>
    <w:rsid w:val="00F03C8A"/>
    <w:rsid w:val="00F205B1"/>
    <w:rsid w:val="00F22745"/>
    <w:rsid w:val="00F32F39"/>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02"/>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693C71"/>
    <w:pPr>
      <w:keepNext/>
      <w:spacing w:before="100" w:beforeAutospacing="1" w:after="100" w:afterAutospacing="1" w:line="360" w:lineRule="auto"/>
      <w:ind w:left="720" w:firstLine="0"/>
      <w:outlineLvl w:val="2"/>
    </w:pPr>
    <w:rPr>
      <w:rFonts w:eastAsia="Calibri"/>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920355"/>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920355"/>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920355"/>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920355"/>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ascii="Times New Roman" w:eastAsia="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693C71"/>
    <w:rPr>
      <w:rFonts w:ascii="Times New Roman" w:eastAsia="Calibri" w:hAnsi="Times New Roman" w:cs="Times New Roman"/>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02"/>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693C71"/>
    <w:pPr>
      <w:keepNext/>
      <w:spacing w:before="100" w:beforeAutospacing="1" w:after="100" w:afterAutospacing="1" w:line="360" w:lineRule="auto"/>
      <w:ind w:left="720" w:firstLine="0"/>
      <w:outlineLvl w:val="2"/>
    </w:pPr>
    <w:rPr>
      <w:rFonts w:eastAsia="Calibri"/>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920355"/>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920355"/>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920355"/>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920355"/>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ascii="Times New Roman" w:eastAsia="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693C71"/>
    <w:rPr>
      <w:rFonts w:ascii="Times New Roman" w:eastAsia="Calibri" w:hAnsi="Times New Roman" w:cs="Times New Roman"/>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005">
      <w:bodyDiv w:val="1"/>
      <w:marLeft w:val="0"/>
      <w:marRight w:val="0"/>
      <w:marTop w:val="0"/>
      <w:marBottom w:val="0"/>
      <w:divBdr>
        <w:top w:val="none" w:sz="0" w:space="0" w:color="auto"/>
        <w:left w:val="none" w:sz="0" w:space="0" w:color="auto"/>
        <w:bottom w:val="none" w:sz="0" w:space="0" w:color="auto"/>
        <w:right w:val="none" w:sz="0" w:space="0" w:color="auto"/>
      </w:divBdr>
    </w:div>
    <w:div w:id="1319067973">
      <w:bodyDiv w:val="1"/>
      <w:marLeft w:val="0"/>
      <w:marRight w:val="0"/>
      <w:marTop w:val="0"/>
      <w:marBottom w:val="0"/>
      <w:divBdr>
        <w:top w:val="none" w:sz="0" w:space="0" w:color="auto"/>
        <w:left w:val="none" w:sz="0" w:space="0" w:color="auto"/>
        <w:bottom w:val="none" w:sz="0" w:space="0" w:color="auto"/>
        <w:right w:val="none" w:sz="0" w:space="0" w:color="auto"/>
      </w:divBdr>
      <w:divsChild>
        <w:div w:id="11903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828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57">
          <w:marLeft w:val="0"/>
          <w:marRight w:val="0"/>
          <w:marTop w:val="0"/>
          <w:marBottom w:val="0"/>
          <w:divBdr>
            <w:top w:val="none" w:sz="0" w:space="0" w:color="auto"/>
            <w:left w:val="none" w:sz="0" w:space="0" w:color="auto"/>
            <w:bottom w:val="none" w:sz="0" w:space="0" w:color="auto"/>
            <w:right w:val="none" w:sz="0" w:space="0" w:color="auto"/>
          </w:divBdr>
        </w:div>
      </w:divsChild>
    </w:div>
    <w:div w:id="2109959127">
      <w:bodyDiv w:val="1"/>
      <w:marLeft w:val="0"/>
      <w:marRight w:val="0"/>
      <w:marTop w:val="0"/>
      <w:marBottom w:val="0"/>
      <w:divBdr>
        <w:top w:val="none" w:sz="0" w:space="0" w:color="auto"/>
        <w:left w:val="none" w:sz="0" w:space="0" w:color="auto"/>
        <w:bottom w:val="none" w:sz="0" w:space="0" w:color="auto"/>
        <w:right w:val="none" w:sz="0" w:space="0" w:color="auto"/>
      </w:divBdr>
      <w:divsChild>
        <w:div w:id="20311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Tab%20L%20TEXAS%20ESTATES%20CODE%20402.001%20No%20further%20action%20of%20any%20nature%20after%20approval%20of%20the%20inventory.pdf" TargetMode="External"/><Relationship Id="rId5" Type="http://schemas.openxmlformats.org/officeDocument/2006/relationships/settings" Target="settings.xml"/><Relationship Id="rId10" Type="http://schemas.openxmlformats.org/officeDocument/2006/relationships/hyperlink" Target="http://www.probatemafia.com/Brunsting/Tab%2022%20%202013-04-04%20Order%20Approving%20Inventory%20412249%20Certified.pdf" TargetMode="External"/><Relationship Id="rId4" Type="http://schemas.microsoft.com/office/2007/relationships/stylesWithEffects" Target="stylesWithEffects.xml"/><Relationship Id="rId9" Type="http://schemas.openxmlformats.org/officeDocument/2006/relationships/hyperlink" Target="http://www.probatemafia.com/Brunsting/Tab%2015%20Inventory%20and%20Order%20Approving%20Inventory%20Case%20412248_Certifi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2717E5-17AD-46B6-8785-82B54EF6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7105</TotalTime>
  <Pages>7</Pages>
  <Words>1643</Words>
  <Characters>9367</Characters>
  <Application>Microsoft Office Word</Application>
  <DocSecurity>0</DocSecurity>
  <Lines>78</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Notice of Special Appearance; Motion to Dismiss for want of Jurisdiction</vt:lpstr>
      <vt:lpstr>STANDING</vt:lpstr>
      <vt:lpstr>Relevant Facts</vt:lpstr>
      <vt:lpstr>STATUTORY PROBATE JURISDICTION OVER INDEPENDENT ADMINISTRATIONS</vt:lpstr>
      <vt:lpstr>JURISDICTION	RELATING TO INTER VIVOS TRUSTS</vt:lpstr>
      <vt:lpstr>    RELIEF REQUESTED</vt:lpstr>
    </vt:vector>
  </TitlesOfParts>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18</cp:revision>
  <dcterms:created xsi:type="dcterms:W3CDTF">2024-11-13T17:50:00Z</dcterms:created>
  <dcterms:modified xsi:type="dcterms:W3CDTF">2025-01-04T22:11:00Z</dcterms:modified>
</cp:coreProperties>
</file>